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C2" w:rsidRPr="0046325F" w:rsidRDefault="001832C2" w:rsidP="001832C2">
      <w:pPr>
        <w:spacing w:line="560" w:lineRule="exact"/>
        <w:rPr>
          <w:rFonts w:ascii="方正仿宋_GBK" w:eastAsia="方正仿宋_GBK" w:hAnsi="黑体" w:cs="Times New Roman" w:hint="eastAsia"/>
          <w:sz w:val="32"/>
          <w:szCs w:val="32"/>
        </w:rPr>
      </w:pPr>
      <w:bookmarkStart w:id="0" w:name="_GoBack"/>
      <w:r w:rsidRPr="0046325F">
        <w:rPr>
          <w:rFonts w:ascii="方正仿宋_GBK" w:eastAsia="方正仿宋_GBK" w:hAnsi="黑体" w:cs="Times New Roman" w:hint="eastAsia"/>
          <w:sz w:val="32"/>
          <w:szCs w:val="32"/>
        </w:rPr>
        <w:t>附件1</w:t>
      </w:r>
    </w:p>
    <w:tbl>
      <w:tblPr>
        <w:tblStyle w:val="a3"/>
        <w:tblW w:w="10065" w:type="dxa"/>
        <w:tblInd w:w="-601" w:type="dxa"/>
        <w:tblLook w:val="04A0" w:firstRow="1" w:lastRow="0" w:firstColumn="1" w:lastColumn="0" w:noHBand="0" w:noVBand="1"/>
      </w:tblPr>
      <w:tblGrid>
        <w:gridCol w:w="709"/>
        <w:gridCol w:w="851"/>
        <w:gridCol w:w="1935"/>
        <w:gridCol w:w="6570"/>
      </w:tblGrid>
      <w:tr w:rsidR="001832C2" w:rsidTr="008D23B7">
        <w:trPr>
          <w:trHeight w:val="459"/>
        </w:trPr>
        <w:tc>
          <w:tcPr>
            <w:tcW w:w="10065" w:type="dxa"/>
            <w:gridSpan w:val="4"/>
            <w:tcBorders>
              <w:top w:val="nil"/>
              <w:left w:val="nil"/>
              <w:bottom w:val="single" w:sz="4" w:space="0" w:color="auto"/>
              <w:right w:val="nil"/>
            </w:tcBorders>
            <w:noWrap/>
            <w:vAlign w:val="center"/>
          </w:tcPr>
          <w:bookmarkEnd w:id="0"/>
          <w:p w:rsidR="001832C2" w:rsidRPr="0046325F" w:rsidRDefault="001832C2" w:rsidP="008D23B7">
            <w:pPr>
              <w:spacing w:line="560" w:lineRule="exact"/>
              <w:jc w:val="center"/>
              <w:rPr>
                <w:rFonts w:ascii="方正小标宋_GBK" w:eastAsia="方正小标宋_GBK" w:hAnsi="华文中宋" w:hint="eastAsia"/>
                <w:sz w:val="36"/>
                <w:szCs w:val="36"/>
              </w:rPr>
            </w:pPr>
            <w:r w:rsidRPr="0046325F">
              <w:rPr>
                <w:rFonts w:ascii="方正小标宋_GBK" w:eastAsia="方正小标宋_GBK" w:hAnsi="华文中宋" w:hint="eastAsia"/>
                <w:sz w:val="36"/>
                <w:szCs w:val="36"/>
              </w:rPr>
              <w:t>国家开放大学学习中心办学条件基本要求</w:t>
            </w:r>
          </w:p>
        </w:tc>
      </w:tr>
      <w:tr w:rsidR="001832C2" w:rsidTr="001832C2">
        <w:trPr>
          <w:trHeight w:val="2685"/>
        </w:trPr>
        <w:tc>
          <w:tcPr>
            <w:tcW w:w="709" w:type="dxa"/>
            <w:tcBorders>
              <w:top w:val="single" w:sz="4" w:space="0" w:color="auto"/>
            </w:tcBorders>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1</w:t>
            </w:r>
          </w:p>
        </w:tc>
        <w:tc>
          <w:tcPr>
            <w:tcW w:w="851" w:type="dxa"/>
            <w:tcBorders>
              <w:top w:val="single" w:sz="4" w:space="0" w:color="auto"/>
            </w:tcBorders>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办学资质</w:t>
            </w:r>
          </w:p>
        </w:tc>
        <w:tc>
          <w:tcPr>
            <w:tcW w:w="8505" w:type="dxa"/>
            <w:gridSpan w:val="2"/>
            <w:tcBorders>
              <w:top w:val="single" w:sz="4" w:space="0" w:color="auto"/>
            </w:tcBorders>
          </w:tcPr>
          <w:p w:rsidR="001832C2" w:rsidRPr="0046325F" w:rsidRDefault="001832C2" w:rsidP="001832C2">
            <w:pPr>
              <w:spacing w:line="360" w:lineRule="exact"/>
              <w:rPr>
                <w:rFonts w:eastAsia="仿宋_GB2312"/>
                <w:sz w:val="24"/>
                <w:szCs w:val="24"/>
              </w:rPr>
            </w:pPr>
            <w:r w:rsidRPr="0046325F">
              <w:rPr>
                <w:rFonts w:eastAsia="仿宋_GB2312" w:hint="eastAsia"/>
                <w:sz w:val="24"/>
                <w:szCs w:val="24"/>
              </w:rPr>
              <w:t>1.</w:t>
            </w:r>
            <w:r w:rsidRPr="0046325F">
              <w:rPr>
                <w:rFonts w:eastAsia="仿宋_GB2312" w:hint="eastAsia"/>
                <w:sz w:val="24"/>
                <w:szCs w:val="24"/>
              </w:rPr>
              <w:t>申报单位为</w:t>
            </w:r>
            <w:r w:rsidRPr="0046325F">
              <w:rPr>
                <w:rFonts w:eastAsia="仿宋_GB2312" w:hint="eastAsia"/>
                <w:bCs/>
                <w:sz w:val="24"/>
                <w:szCs w:val="24"/>
              </w:rPr>
              <w:t>行政机关、</w:t>
            </w:r>
            <w:r w:rsidRPr="0046325F">
              <w:rPr>
                <w:rFonts w:eastAsia="仿宋_GB2312" w:hint="eastAsia"/>
                <w:sz w:val="24"/>
                <w:szCs w:val="24"/>
              </w:rPr>
              <w:t>事业单位的，应</w:t>
            </w:r>
            <w:r w:rsidRPr="0046325F">
              <w:rPr>
                <w:rFonts w:eastAsia="仿宋_GB2312" w:hint="eastAsia"/>
                <w:bCs/>
                <w:sz w:val="24"/>
                <w:szCs w:val="24"/>
              </w:rPr>
              <w:t>设有内部培训机构</w:t>
            </w:r>
            <w:r w:rsidRPr="0046325F">
              <w:rPr>
                <w:rFonts w:eastAsia="仿宋_GB2312" w:hint="eastAsia"/>
                <w:sz w:val="24"/>
                <w:szCs w:val="24"/>
              </w:rPr>
              <w:t>。</w:t>
            </w:r>
            <w:r w:rsidRPr="0046325F">
              <w:rPr>
                <w:rFonts w:eastAsia="仿宋_GB2312" w:hint="eastAsia"/>
                <w:sz w:val="24"/>
                <w:szCs w:val="24"/>
              </w:rPr>
              <w:br/>
              <w:t>2.</w:t>
            </w:r>
            <w:r w:rsidRPr="0046325F">
              <w:rPr>
                <w:rFonts w:eastAsia="仿宋_GB2312" w:hint="eastAsia"/>
                <w:sz w:val="24"/>
                <w:szCs w:val="24"/>
              </w:rPr>
              <w:t>申报单位为民办非企业单位的，注册资金不少于</w:t>
            </w:r>
            <w:r w:rsidRPr="0046325F">
              <w:rPr>
                <w:rFonts w:eastAsia="仿宋_GB2312" w:hint="eastAsia"/>
                <w:sz w:val="24"/>
                <w:szCs w:val="24"/>
              </w:rPr>
              <w:t>50</w:t>
            </w:r>
            <w:r w:rsidRPr="0046325F">
              <w:rPr>
                <w:rFonts w:eastAsia="仿宋_GB2312" w:hint="eastAsia"/>
                <w:sz w:val="24"/>
                <w:szCs w:val="24"/>
              </w:rPr>
              <w:t>万，且取得当地教育行政部门颁发的“办学许可证”、实施成人文化教育培训，按照当地主管部门要求按时完成</w:t>
            </w:r>
            <w:proofErr w:type="gramStart"/>
            <w:r w:rsidRPr="0046325F">
              <w:rPr>
                <w:rFonts w:eastAsia="仿宋_GB2312" w:hint="eastAsia"/>
                <w:sz w:val="24"/>
                <w:szCs w:val="24"/>
              </w:rPr>
              <w:t>年检且年检</w:t>
            </w:r>
            <w:proofErr w:type="gramEnd"/>
            <w:r w:rsidRPr="0046325F">
              <w:rPr>
                <w:rFonts w:eastAsia="仿宋_GB2312" w:hint="eastAsia"/>
                <w:sz w:val="24"/>
                <w:szCs w:val="24"/>
              </w:rPr>
              <w:t>合格，截至申报时开展办学业务的时间原则上不少于</w:t>
            </w:r>
            <w:r w:rsidRPr="0046325F">
              <w:rPr>
                <w:rFonts w:eastAsia="仿宋_GB2312" w:hint="eastAsia"/>
                <w:sz w:val="24"/>
                <w:szCs w:val="24"/>
              </w:rPr>
              <w:t>3</w:t>
            </w:r>
            <w:r w:rsidRPr="0046325F">
              <w:rPr>
                <w:rFonts w:eastAsia="仿宋_GB2312" w:hint="eastAsia"/>
                <w:sz w:val="24"/>
                <w:szCs w:val="24"/>
              </w:rPr>
              <w:t>年。</w:t>
            </w:r>
            <w:r w:rsidRPr="0046325F">
              <w:rPr>
                <w:rFonts w:eastAsia="仿宋_GB2312" w:hint="eastAsia"/>
                <w:sz w:val="24"/>
                <w:szCs w:val="24"/>
              </w:rPr>
              <w:br/>
              <w:t>3.</w:t>
            </w:r>
            <w:r w:rsidRPr="0046325F">
              <w:rPr>
                <w:rFonts w:eastAsia="仿宋_GB2312" w:hint="eastAsia"/>
                <w:sz w:val="24"/>
                <w:szCs w:val="24"/>
              </w:rPr>
              <w:t>申报单位为职业院校（中等职业学校如技工学校、中专等，及高等职业学校），须符合当地省级教育主管部门关于高等学历继续教育设置学习中心的相应要求。</w:t>
            </w:r>
            <w:r w:rsidRPr="0046325F">
              <w:rPr>
                <w:rFonts w:eastAsia="仿宋_GB2312" w:hint="eastAsia"/>
                <w:sz w:val="24"/>
                <w:szCs w:val="24"/>
              </w:rPr>
              <w:br/>
              <w:t>4.</w:t>
            </w:r>
            <w:r w:rsidRPr="0046325F">
              <w:rPr>
                <w:rFonts w:eastAsia="仿宋_GB2312" w:hint="eastAsia"/>
                <w:sz w:val="24"/>
                <w:szCs w:val="24"/>
              </w:rPr>
              <w:t>拟申报行业学院的学习中心设点单位，其宗旨和办学业务范围须与所属行业相关。</w:t>
            </w:r>
            <w:r w:rsidRPr="0046325F">
              <w:rPr>
                <w:rFonts w:eastAsia="仿宋_GB2312" w:hint="eastAsia"/>
                <w:sz w:val="24"/>
                <w:szCs w:val="24"/>
              </w:rPr>
              <w:t xml:space="preserve"> </w:t>
            </w:r>
            <w:r w:rsidRPr="0046325F">
              <w:rPr>
                <w:rFonts w:eastAsia="仿宋_GB2312" w:hint="eastAsia"/>
                <w:sz w:val="24"/>
                <w:szCs w:val="24"/>
              </w:rPr>
              <w:br/>
              <w:t>5.</w:t>
            </w:r>
            <w:r w:rsidRPr="0046325F">
              <w:rPr>
                <w:rFonts w:eastAsia="仿宋_GB2312" w:hint="eastAsia"/>
                <w:sz w:val="24"/>
                <w:szCs w:val="24"/>
              </w:rPr>
              <w:t>国有大中型企业，需提供营业执照、同意其内设培训中心开展开放教育办学</w:t>
            </w:r>
            <w:proofErr w:type="gramStart"/>
            <w:r w:rsidRPr="0046325F">
              <w:rPr>
                <w:rFonts w:eastAsia="仿宋_GB2312" w:hint="eastAsia"/>
                <w:sz w:val="24"/>
                <w:szCs w:val="24"/>
              </w:rPr>
              <w:t>证明及仅面向</w:t>
            </w:r>
            <w:proofErr w:type="gramEnd"/>
            <w:r w:rsidRPr="0046325F">
              <w:rPr>
                <w:rFonts w:eastAsia="仿宋_GB2312" w:hint="eastAsia"/>
                <w:sz w:val="24"/>
                <w:szCs w:val="24"/>
              </w:rPr>
              <w:t>企业内部招生的承诺书。</w:t>
            </w:r>
          </w:p>
        </w:tc>
      </w:tr>
      <w:tr w:rsidR="001832C2" w:rsidTr="001832C2">
        <w:trPr>
          <w:trHeight w:val="2208"/>
        </w:trPr>
        <w:tc>
          <w:tcPr>
            <w:tcW w:w="709" w:type="dxa"/>
            <w:vMerge w:val="restart"/>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2</w:t>
            </w:r>
          </w:p>
        </w:tc>
        <w:tc>
          <w:tcPr>
            <w:tcW w:w="851" w:type="dxa"/>
            <w:vMerge w:val="restart"/>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硬件条件</w:t>
            </w:r>
          </w:p>
        </w:tc>
        <w:tc>
          <w:tcPr>
            <w:tcW w:w="1935" w:type="dxa"/>
            <w:noWrap/>
            <w:vAlign w:val="center"/>
          </w:tcPr>
          <w:p w:rsidR="001832C2" w:rsidRPr="0046325F" w:rsidRDefault="001832C2" w:rsidP="001832C2">
            <w:pPr>
              <w:spacing w:line="400" w:lineRule="exact"/>
              <w:jc w:val="center"/>
              <w:rPr>
                <w:rFonts w:eastAsia="仿宋_GB2312"/>
                <w:sz w:val="24"/>
                <w:szCs w:val="24"/>
              </w:rPr>
            </w:pPr>
            <w:r w:rsidRPr="0046325F">
              <w:rPr>
                <w:rFonts w:eastAsia="仿宋_GB2312" w:hint="eastAsia"/>
                <w:sz w:val="24"/>
                <w:szCs w:val="24"/>
              </w:rPr>
              <w:t>办学场地</w:t>
            </w:r>
          </w:p>
        </w:tc>
        <w:tc>
          <w:tcPr>
            <w:tcW w:w="6570" w:type="dxa"/>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1.</w:t>
            </w:r>
            <w:r w:rsidRPr="0046325F">
              <w:rPr>
                <w:rFonts w:eastAsia="仿宋_GB2312" w:hint="eastAsia"/>
                <w:sz w:val="24"/>
                <w:szCs w:val="24"/>
              </w:rPr>
              <w:t>具有固定的办学场地，面积不低于</w:t>
            </w:r>
            <w:r w:rsidRPr="0046325F">
              <w:rPr>
                <w:rFonts w:eastAsia="仿宋_GB2312" w:hint="eastAsia"/>
                <w:sz w:val="24"/>
                <w:szCs w:val="24"/>
              </w:rPr>
              <w:t>500</w:t>
            </w:r>
            <w:r w:rsidRPr="0046325F">
              <w:rPr>
                <w:rFonts w:eastAsia="仿宋_GB2312" w:hint="eastAsia"/>
                <w:sz w:val="24"/>
                <w:szCs w:val="24"/>
              </w:rPr>
              <w:t>平方，能够至少满足学习中心设立后</w:t>
            </w:r>
            <w:r w:rsidRPr="0046325F">
              <w:rPr>
                <w:rFonts w:eastAsia="仿宋_GB2312" w:hint="eastAsia"/>
                <w:sz w:val="24"/>
                <w:szCs w:val="24"/>
              </w:rPr>
              <w:t>3</w:t>
            </w:r>
            <w:r w:rsidRPr="0046325F">
              <w:rPr>
                <w:rFonts w:eastAsia="仿宋_GB2312" w:hint="eastAsia"/>
                <w:sz w:val="24"/>
                <w:szCs w:val="24"/>
              </w:rPr>
              <w:t>年办学需要。</w:t>
            </w:r>
            <w:r w:rsidRPr="0046325F">
              <w:rPr>
                <w:rFonts w:eastAsia="仿宋_GB2312" w:hint="eastAsia"/>
                <w:sz w:val="24"/>
                <w:szCs w:val="24"/>
              </w:rPr>
              <w:br/>
              <w:t>2.</w:t>
            </w:r>
            <w:r w:rsidRPr="0046325F">
              <w:rPr>
                <w:rFonts w:eastAsia="仿宋_GB2312" w:hint="eastAsia"/>
                <w:sz w:val="24"/>
                <w:szCs w:val="24"/>
              </w:rPr>
              <w:t>教学服务设施齐备并相对集中，学习环境优良，交通便利，符合国家与地方有关建筑安全、消防安全、卫生防疫、网络安全等方面的要求，并具有进一步拓展办学空间的相应条件或能力。</w:t>
            </w:r>
            <w:r w:rsidRPr="0046325F">
              <w:rPr>
                <w:rFonts w:eastAsia="仿宋_GB2312" w:hint="eastAsia"/>
                <w:sz w:val="24"/>
                <w:szCs w:val="24"/>
              </w:rPr>
              <w:br/>
              <w:t>3.</w:t>
            </w:r>
            <w:r w:rsidRPr="0046325F">
              <w:rPr>
                <w:rFonts w:eastAsia="仿宋_GB2312" w:hint="eastAsia"/>
                <w:sz w:val="24"/>
                <w:szCs w:val="24"/>
              </w:rPr>
              <w:t>办学场地为租赁的，申报新增学习中心时租赁合同剩余期限距离申报时间不少于</w:t>
            </w:r>
            <w:r w:rsidRPr="0046325F">
              <w:rPr>
                <w:rFonts w:eastAsia="仿宋_GB2312" w:hint="eastAsia"/>
                <w:sz w:val="24"/>
                <w:szCs w:val="24"/>
              </w:rPr>
              <w:t>3</w:t>
            </w:r>
            <w:r w:rsidRPr="0046325F">
              <w:rPr>
                <w:rFonts w:eastAsia="仿宋_GB2312" w:hint="eastAsia"/>
                <w:sz w:val="24"/>
                <w:szCs w:val="24"/>
              </w:rPr>
              <w:t>年。</w:t>
            </w:r>
            <w:r w:rsidRPr="0046325F">
              <w:rPr>
                <w:rFonts w:eastAsia="仿宋_GB2312" w:hint="eastAsia"/>
                <w:sz w:val="24"/>
                <w:szCs w:val="24"/>
              </w:rPr>
              <w:br/>
              <w:t>4.</w:t>
            </w:r>
            <w:r w:rsidRPr="0046325F">
              <w:rPr>
                <w:rFonts w:eastAsia="仿宋_GB2312" w:hint="eastAsia"/>
                <w:sz w:val="24"/>
                <w:szCs w:val="24"/>
              </w:rPr>
              <w:t>不得使用居民住宅、地下室作为办学场所。</w:t>
            </w:r>
          </w:p>
        </w:tc>
      </w:tr>
      <w:tr w:rsidR="001832C2" w:rsidTr="001832C2">
        <w:trPr>
          <w:trHeight w:val="1644"/>
        </w:trPr>
        <w:tc>
          <w:tcPr>
            <w:tcW w:w="709" w:type="dxa"/>
            <w:vMerge/>
            <w:vAlign w:val="center"/>
          </w:tcPr>
          <w:p w:rsidR="001832C2" w:rsidRPr="0046325F" w:rsidRDefault="001832C2" w:rsidP="008D23B7">
            <w:pPr>
              <w:spacing w:line="400" w:lineRule="exact"/>
              <w:jc w:val="center"/>
              <w:rPr>
                <w:rFonts w:eastAsia="仿宋_GB2312"/>
                <w:sz w:val="24"/>
                <w:szCs w:val="24"/>
              </w:rPr>
            </w:pPr>
          </w:p>
        </w:tc>
        <w:tc>
          <w:tcPr>
            <w:tcW w:w="851" w:type="dxa"/>
            <w:vMerge/>
            <w:vAlign w:val="center"/>
          </w:tcPr>
          <w:p w:rsidR="001832C2" w:rsidRPr="0046325F" w:rsidRDefault="001832C2" w:rsidP="008D23B7">
            <w:pPr>
              <w:spacing w:line="400" w:lineRule="exact"/>
              <w:jc w:val="center"/>
              <w:rPr>
                <w:rFonts w:eastAsia="仿宋_GB2312"/>
                <w:sz w:val="24"/>
                <w:szCs w:val="24"/>
              </w:rPr>
            </w:pPr>
          </w:p>
        </w:tc>
        <w:tc>
          <w:tcPr>
            <w:tcW w:w="1935" w:type="dxa"/>
            <w:noWrap/>
            <w:vAlign w:val="center"/>
          </w:tcPr>
          <w:p w:rsidR="001832C2" w:rsidRPr="0046325F" w:rsidRDefault="001832C2" w:rsidP="001832C2">
            <w:pPr>
              <w:spacing w:line="400" w:lineRule="exact"/>
              <w:jc w:val="center"/>
              <w:rPr>
                <w:rFonts w:eastAsia="仿宋_GB2312"/>
                <w:sz w:val="24"/>
                <w:szCs w:val="24"/>
              </w:rPr>
            </w:pPr>
            <w:r w:rsidRPr="0046325F">
              <w:rPr>
                <w:rFonts w:eastAsia="仿宋_GB2312" w:hint="eastAsia"/>
                <w:sz w:val="24"/>
                <w:szCs w:val="24"/>
              </w:rPr>
              <w:t>教室配置</w:t>
            </w:r>
          </w:p>
        </w:tc>
        <w:tc>
          <w:tcPr>
            <w:tcW w:w="6570" w:type="dxa"/>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生</w:t>
            </w:r>
            <w:proofErr w:type="gramStart"/>
            <w:r w:rsidRPr="0046325F">
              <w:rPr>
                <w:rFonts w:eastAsia="仿宋_GB2312" w:hint="eastAsia"/>
                <w:sz w:val="24"/>
                <w:szCs w:val="24"/>
              </w:rPr>
              <w:t>均教学</w:t>
            </w:r>
            <w:proofErr w:type="gramEnd"/>
            <w:r w:rsidRPr="0046325F">
              <w:rPr>
                <w:rFonts w:eastAsia="仿宋_GB2312" w:hint="eastAsia"/>
                <w:sz w:val="24"/>
                <w:szCs w:val="24"/>
              </w:rPr>
              <w:t>用房（可与多媒体教室合并计算）面积不低于</w:t>
            </w:r>
            <w:r w:rsidRPr="0046325F">
              <w:rPr>
                <w:rFonts w:eastAsia="仿宋_GB2312" w:hint="eastAsia"/>
                <w:sz w:val="24"/>
                <w:szCs w:val="24"/>
              </w:rPr>
              <w:t>0.3</w:t>
            </w:r>
            <w:r w:rsidRPr="0046325F">
              <w:rPr>
                <w:rFonts w:eastAsia="仿宋_GB2312" w:hint="eastAsia"/>
                <w:sz w:val="24"/>
                <w:szCs w:val="24"/>
              </w:rPr>
              <w:t>平方米（承担全网办学业务的学习中心除外），总数量不少于</w:t>
            </w:r>
            <w:r w:rsidRPr="0046325F">
              <w:rPr>
                <w:rFonts w:eastAsia="仿宋_GB2312" w:hint="eastAsia"/>
                <w:sz w:val="24"/>
                <w:szCs w:val="24"/>
              </w:rPr>
              <w:t>3</w:t>
            </w:r>
            <w:r w:rsidRPr="0046325F">
              <w:rPr>
                <w:rFonts w:eastAsia="仿宋_GB2312" w:hint="eastAsia"/>
                <w:sz w:val="24"/>
                <w:szCs w:val="24"/>
              </w:rPr>
              <w:t>个，其中一个为符合教学要求的多媒体网络教室，配备联网多媒体计算机、视频投影机或大屏幕投影电视、不间断电源等设备。联网多媒体计算机数量总数量不少于</w:t>
            </w:r>
            <w:r w:rsidRPr="0046325F">
              <w:rPr>
                <w:rFonts w:eastAsia="仿宋_GB2312" w:hint="eastAsia"/>
                <w:sz w:val="24"/>
                <w:szCs w:val="24"/>
              </w:rPr>
              <w:t>40</w:t>
            </w:r>
            <w:r w:rsidRPr="0046325F">
              <w:rPr>
                <w:rFonts w:eastAsia="仿宋_GB2312" w:hint="eastAsia"/>
                <w:sz w:val="24"/>
                <w:szCs w:val="24"/>
              </w:rPr>
              <w:t>台，生均数量不低于</w:t>
            </w:r>
            <w:r w:rsidRPr="0046325F">
              <w:rPr>
                <w:rFonts w:eastAsia="仿宋_GB2312" w:hint="eastAsia"/>
                <w:sz w:val="24"/>
                <w:szCs w:val="24"/>
              </w:rPr>
              <w:t>1</w:t>
            </w:r>
            <w:r w:rsidRPr="0046325F">
              <w:rPr>
                <w:rFonts w:eastAsia="仿宋_GB2312" w:hint="eastAsia"/>
                <w:sz w:val="24"/>
                <w:szCs w:val="24"/>
              </w:rPr>
              <w:t>：</w:t>
            </w:r>
            <w:r w:rsidRPr="0046325F">
              <w:rPr>
                <w:rFonts w:eastAsia="仿宋_GB2312" w:hint="eastAsia"/>
                <w:sz w:val="24"/>
                <w:szCs w:val="24"/>
              </w:rPr>
              <w:t>80</w:t>
            </w:r>
            <w:r w:rsidRPr="0046325F">
              <w:rPr>
                <w:rFonts w:eastAsia="仿宋_GB2312" w:hint="eastAsia"/>
                <w:sz w:val="24"/>
                <w:szCs w:val="24"/>
              </w:rPr>
              <w:t>。拟申请新增学习中心以未来</w:t>
            </w:r>
            <w:r w:rsidRPr="0046325F">
              <w:rPr>
                <w:rFonts w:eastAsia="仿宋_GB2312" w:hint="eastAsia"/>
                <w:sz w:val="24"/>
                <w:szCs w:val="24"/>
              </w:rPr>
              <w:t>3</w:t>
            </w:r>
            <w:r w:rsidRPr="0046325F">
              <w:rPr>
                <w:rFonts w:eastAsia="仿宋_GB2312" w:hint="eastAsia"/>
                <w:sz w:val="24"/>
                <w:szCs w:val="24"/>
              </w:rPr>
              <w:t>年计划招生规模测算。</w:t>
            </w:r>
          </w:p>
        </w:tc>
      </w:tr>
      <w:tr w:rsidR="001832C2" w:rsidTr="001832C2">
        <w:trPr>
          <w:trHeight w:val="2808"/>
        </w:trPr>
        <w:tc>
          <w:tcPr>
            <w:tcW w:w="709" w:type="dxa"/>
            <w:vMerge/>
            <w:vAlign w:val="center"/>
          </w:tcPr>
          <w:p w:rsidR="001832C2" w:rsidRPr="0046325F" w:rsidRDefault="001832C2" w:rsidP="008D23B7">
            <w:pPr>
              <w:spacing w:line="400" w:lineRule="exact"/>
              <w:jc w:val="center"/>
              <w:rPr>
                <w:rFonts w:eastAsia="仿宋_GB2312"/>
                <w:sz w:val="24"/>
                <w:szCs w:val="24"/>
              </w:rPr>
            </w:pPr>
          </w:p>
        </w:tc>
        <w:tc>
          <w:tcPr>
            <w:tcW w:w="851" w:type="dxa"/>
            <w:vMerge/>
            <w:vAlign w:val="center"/>
          </w:tcPr>
          <w:p w:rsidR="001832C2" w:rsidRPr="0046325F" w:rsidRDefault="001832C2" w:rsidP="008D23B7">
            <w:pPr>
              <w:spacing w:line="400" w:lineRule="exact"/>
              <w:jc w:val="center"/>
              <w:rPr>
                <w:rFonts w:eastAsia="仿宋_GB2312"/>
                <w:sz w:val="24"/>
                <w:szCs w:val="24"/>
              </w:rPr>
            </w:pPr>
          </w:p>
        </w:tc>
        <w:tc>
          <w:tcPr>
            <w:tcW w:w="1935" w:type="dxa"/>
            <w:noWrap/>
            <w:vAlign w:val="center"/>
          </w:tcPr>
          <w:p w:rsidR="001832C2" w:rsidRPr="0046325F" w:rsidRDefault="001832C2" w:rsidP="001832C2">
            <w:pPr>
              <w:spacing w:line="400" w:lineRule="exact"/>
              <w:jc w:val="center"/>
              <w:rPr>
                <w:rFonts w:eastAsia="仿宋_GB2312"/>
                <w:sz w:val="24"/>
                <w:szCs w:val="24"/>
              </w:rPr>
            </w:pPr>
            <w:r w:rsidRPr="0046325F">
              <w:rPr>
                <w:rFonts w:eastAsia="仿宋_GB2312" w:hint="eastAsia"/>
                <w:sz w:val="24"/>
                <w:szCs w:val="24"/>
              </w:rPr>
              <w:t>网络环境</w:t>
            </w:r>
          </w:p>
        </w:tc>
        <w:tc>
          <w:tcPr>
            <w:tcW w:w="6570" w:type="dxa"/>
          </w:tcPr>
          <w:p w:rsidR="001832C2" w:rsidRPr="0046325F" w:rsidRDefault="001832C2" w:rsidP="001832C2">
            <w:pPr>
              <w:spacing w:line="380" w:lineRule="exact"/>
              <w:rPr>
                <w:rFonts w:eastAsia="仿宋_GB2312"/>
                <w:sz w:val="24"/>
                <w:szCs w:val="24"/>
              </w:rPr>
            </w:pPr>
            <w:r w:rsidRPr="0046325F">
              <w:rPr>
                <w:rFonts w:eastAsia="仿宋_GB2312" w:hint="eastAsia"/>
                <w:sz w:val="24"/>
                <w:szCs w:val="24"/>
              </w:rPr>
              <w:t>1.</w:t>
            </w:r>
            <w:r w:rsidRPr="0046325F">
              <w:rPr>
                <w:rFonts w:eastAsia="仿宋_GB2312" w:hint="eastAsia"/>
                <w:sz w:val="24"/>
                <w:szCs w:val="24"/>
              </w:rPr>
              <w:t>配备办学必须的网络设备，如交换机、安全网关、设备专用机柜、设备间等。</w:t>
            </w:r>
            <w:r w:rsidRPr="0046325F">
              <w:rPr>
                <w:rFonts w:eastAsia="仿宋_GB2312" w:hint="eastAsia"/>
                <w:sz w:val="24"/>
                <w:szCs w:val="24"/>
              </w:rPr>
              <w:br/>
              <w:t>2.</w:t>
            </w:r>
            <w:r w:rsidRPr="0046325F">
              <w:rPr>
                <w:rFonts w:eastAsia="仿宋_GB2312" w:hint="eastAsia"/>
                <w:sz w:val="24"/>
                <w:szCs w:val="24"/>
              </w:rPr>
              <w:t>具有数量和质量满足教学要求的专用服务器，至少配备</w:t>
            </w:r>
            <w:r w:rsidRPr="0046325F">
              <w:rPr>
                <w:rFonts w:eastAsia="仿宋_GB2312" w:hint="eastAsia"/>
                <w:sz w:val="24"/>
                <w:szCs w:val="24"/>
              </w:rPr>
              <w:t>1</w:t>
            </w:r>
            <w:r w:rsidRPr="0046325F">
              <w:rPr>
                <w:rFonts w:eastAsia="仿宋_GB2312" w:hint="eastAsia"/>
                <w:sz w:val="24"/>
                <w:szCs w:val="24"/>
              </w:rPr>
              <w:t>台不低于</w:t>
            </w:r>
            <w:r w:rsidRPr="0046325F">
              <w:rPr>
                <w:rFonts w:eastAsia="仿宋_GB2312" w:hint="eastAsia"/>
                <w:sz w:val="24"/>
                <w:szCs w:val="24"/>
              </w:rPr>
              <w:t>500G</w:t>
            </w:r>
            <w:r w:rsidRPr="0046325F">
              <w:rPr>
                <w:rFonts w:eastAsia="仿宋_GB2312" w:hint="eastAsia"/>
                <w:sz w:val="24"/>
                <w:szCs w:val="24"/>
              </w:rPr>
              <w:t>的教学专用服务器。</w:t>
            </w:r>
            <w:r w:rsidRPr="0046325F">
              <w:rPr>
                <w:rFonts w:eastAsia="仿宋_GB2312" w:hint="eastAsia"/>
                <w:sz w:val="24"/>
                <w:szCs w:val="24"/>
              </w:rPr>
              <w:br/>
              <w:t>3.</w:t>
            </w:r>
            <w:r w:rsidRPr="0046325F">
              <w:rPr>
                <w:rFonts w:eastAsia="仿宋_GB2312" w:hint="eastAsia"/>
                <w:sz w:val="24"/>
                <w:szCs w:val="24"/>
              </w:rPr>
              <w:t>学习中心内部所有计算机设备局域网互通（涉密设备除外），能实现在局域网上共享教学信息。</w:t>
            </w:r>
            <w:r w:rsidRPr="0046325F">
              <w:rPr>
                <w:rFonts w:eastAsia="仿宋_GB2312" w:hint="eastAsia"/>
                <w:sz w:val="24"/>
                <w:szCs w:val="24"/>
              </w:rPr>
              <w:br/>
              <w:t>4.</w:t>
            </w:r>
            <w:r w:rsidRPr="0046325F">
              <w:rPr>
                <w:rFonts w:eastAsia="仿宋_GB2312" w:hint="eastAsia"/>
                <w:sz w:val="24"/>
                <w:szCs w:val="24"/>
              </w:rPr>
              <w:t>局域网能够与公共网络或专用网络连接，至少有</w:t>
            </w:r>
            <w:r w:rsidRPr="0046325F">
              <w:rPr>
                <w:rFonts w:eastAsia="仿宋_GB2312" w:hint="eastAsia"/>
                <w:sz w:val="24"/>
                <w:szCs w:val="24"/>
              </w:rPr>
              <w:t>100M</w:t>
            </w:r>
            <w:r w:rsidRPr="0046325F">
              <w:rPr>
                <w:rFonts w:eastAsia="仿宋_GB2312" w:hint="eastAsia"/>
                <w:sz w:val="24"/>
                <w:szCs w:val="24"/>
              </w:rPr>
              <w:t>以上的接入带宽，</w:t>
            </w:r>
            <w:r w:rsidRPr="0046325F">
              <w:rPr>
                <w:rFonts w:eastAsia="仿宋_GB2312" w:hint="eastAsia"/>
                <w:sz w:val="24"/>
                <w:szCs w:val="24"/>
              </w:rPr>
              <w:t>10M</w:t>
            </w:r>
            <w:r w:rsidRPr="0046325F">
              <w:rPr>
                <w:rFonts w:eastAsia="仿宋_GB2312" w:hint="eastAsia"/>
                <w:sz w:val="24"/>
                <w:szCs w:val="24"/>
              </w:rPr>
              <w:t>以上到桌面（涉密学习中心除外）。能实现在局域网上共享教学信息，能保障学生完成网上学习及相关虚拟实训，有专人负责网络安全和信息安全。</w:t>
            </w:r>
          </w:p>
        </w:tc>
      </w:tr>
    </w:tbl>
    <w:p w:rsidR="001832C2" w:rsidRDefault="001832C2">
      <w:r>
        <w:br w:type="page"/>
      </w:r>
    </w:p>
    <w:tbl>
      <w:tblPr>
        <w:tblStyle w:val="a3"/>
        <w:tblW w:w="10065" w:type="dxa"/>
        <w:tblInd w:w="-601" w:type="dxa"/>
        <w:tblLook w:val="04A0" w:firstRow="1" w:lastRow="0" w:firstColumn="1" w:lastColumn="0" w:noHBand="0" w:noVBand="1"/>
      </w:tblPr>
      <w:tblGrid>
        <w:gridCol w:w="709"/>
        <w:gridCol w:w="851"/>
        <w:gridCol w:w="1935"/>
        <w:gridCol w:w="6570"/>
      </w:tblGrid>
      <w:tr w:rsidR="001832C2" w:rsidTr="001832C2">
        <w:trPr>
          <w:trHeight w:val="648"/>
        </w:trPr>
        <w:tc>
          <w:tcPr>
            <w:tcW w:w="709" w:type="dxa"/>
            <w:vMerge w:val="restart"/>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lastRenderedPageBreak/>
              <w:t>3</w:t>
            </w:r>
          </w:p>
        </w:tc>
        <w:tc>
          <w:tcPr>
            <w:tcW w:w="851" w:type="dxa"/>
            <w:vMerge w:val="restart"/>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师资队伍</w:t>
            </w:r>
          </w:p>
        </w:tc>
        <w:tc>
          <w:tcPr>
            <w:tcW w:w="1935" w:type="dxa"/>
            <w:noWrap/>
            <w:vAlign w:val="center"/>
          </w:tcPr>
          <w:p w:rsidR="001832C2" w:rsidRPr="0046325F" w:rsidRDefault="001832C2" w:rsidP="001832C2">
            <w:pPr>
              <w:spacing w:line="400" w:lineRule="exact"/>
              <w:jc w:val="center"/>
              <w:rPr>
                <w:rFonts w:eastAsia="仿宋_GB2312"/>
                <w:sz w:val="24"/>
                <w:szCs w:val="24"/>
              </w:rPr>
            </w:pPr>
            <w:r w:rsidRPr="0046325F">
              <w:rPr>
                <w:rFonts w:eastAsia="仿宋_GB2312" w:hint="eastAsia"/>
                <w:sz w:val="24"/>
                <w:szCs w:val="24"/>
              </w:rPr>
              <w:t>管理团队</w:t>
            </w:r>
          </w:p>
        </w:tc>
        <w:tc>
          <w:tcPr>
            <w:tcW w:w="6570" w:type="dxa"/>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具有不少于</w:t>
            </w:r>
            <w:r w:rsidRPr="0046325F">
              <w:rPr>
                <w:rFonts w:eastAsia="仿宋_GB2312" w:hint="eastAsia"/>
                <w:sz w:val="24"/>
                <w:szCs w:val="24"/>
              </w:rPr>
              <w:t>5</w:t>
            </w:r>
            <w:r w:rsidRPr="0046325F">
              <w:rPr>
                <w:rFonts w:eastAsia="仿宋_GB2312" w:hint="eastAsia"/>
                <w:sz w:val="24"/>
                <w:szCs w:val="24"/>
              </w:rPr>
              <w:t>人的有经验的专职招生、教学、教务、考试等教学管理人员和网络管理与运</w:t>
            </w:r>
            <w:proofErr w:type="gramStart"/>
            <w:r w:rsidRPr="0046325F">
              <w:rPr>
                <w:rFonts w:eastAsia="仿宋_GB2312" w:hint="eastAsia"/>
                <w:sz w:val="24"/>
                <w:szCs w:val="24"/>
              </w:rPr>
              <w:t>维技术</w:t>
            </w:r>
            <w:proofErr w:type="gramEnd"/>
            <w:r w:rsidRPr="0046325F">
              <w:rPr>
                <w:rFonts w:eastAsia="仿宋_GB2312" w:hint="eastAsia"/>
                <w:sz w:val="24"/>
                <w:szCs w:val="24"/>
              </w:rPr>
              <w:t>支持人员。</w:t>
            </w:r>
          </w:p>
        </w:tc>
      </w:tr>
      <w:tr w:rsidR="001832C2" w:rsidTr="001832C2">
        <w:trPr>
          <w:trHeight w:val="2208"/>
        </w:trPr>
        <w:tc>
          <w:tcPr>
            <w:tcW w:w="709" w:type="dxa"/>
            <w:vMerge/>
          </w:tcPr>
          <w:p w:rsidR="001832C2" w:rsidRPr="0046325F" w:rsidRDefault="001832C2" w:rsidP="008D23B7">
            <w:pPr>
              <w:spacing w:line="400" w:lineRule="exact"/>
              <w:rPr>
                <w:rFonts w:eastAsia="仿宋_GB2312"/>
                <w:sz w:val="24"/>
                <w:szCs w:val="24"/>
              </w:rPr>
            </w:pPr>
          </w:p>
        </w:tc>
        <w:tc>
          <w:tcPr>
            <w:tcW w:w="851" w:type="dxa"/>
            <w:vMerge/>
          </w:tcPr>
          <w:p w:rsidR="001832C2" w:rsidRPr="0046325F" w:rsidRDefault="001832C2" w:rsidP="008D23B7">
            <w:pPr>
              <w:spacing w:line="400" w:lineRule="exact"/>
              <w:rPr>
                <w:rFonts w:eastAsia="仿宋_GB2312"/>
                <w:sz w:val="24"/>
                <w:szCs w:val="24"/>
              </w:rPr>
            </w:pPr>
          </w:p>
        </w:tc>
        <w:tc>
          <w:tcPr>
            <w:tcW w:w="1935" w:type="dxa"/>
            <w:noWrap/>
            <w:vAlign w:val="center"/>
          </w:tcPr>
          <w:p w:rsidR="001832C2" w:rsidRPr="0046325F" w:rsidRDefault="001832C2" w:rsidP="001832C2">
            <w:pPr>
              <w:spacing w:line="400" w:lineRule="exact"/>
              <w:jc w:val="center"/>
              <w:rPr>
                <w:rFonts w:eastAsia="仿宋_GB2312"/>
                <w:sz w:val="24"/>
                <w:szCs w:val="24"/>
              </w:rPr>
            </w:pPr>
            <w:r w:rsidRPr="0046325F">
              <w:rPr>
                <w:rFonts w:eastAsia="仿宋_GB2312" w:hint="eastAsia"/>
                <w:sz w:val="24"/>
                <w:szCs w:val="24"/>
              </w:rPr>
              <w:t>教师</w:t>
            </w:r>
          </w:p>
        </w:tc>
        <w:tc>
          <w:tcPr>
            <w:tcW w:w="6570" w:type="dxa"/>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1.</w:t>
            </w:r>
            <w:r w:rsidRPr="0046325F">
              <w:rPr>
                <w:rFonts w:eastAsia="仿宋_GB2312" w:hint="eastAsia"/>
                <w:sz w:val="24"/>
                <w:szCs w:val="24"/>
              </w:rPr>
              <w:t>具有一支与（计划）招生专业数量和学生规模相匹配的、相对稳定的、教学经验丰富的专兼职教师和专兼职班主任队伍。</w:t>
            </w:r>
            <w:r w:rsidRPr="0046325F">
              <w:rPr>
                <w:rFonts w:eastAsia="仿宋_GB2312" w:hint="eastAsia"/>
                <w:sz w:val="24"/>
                <w:szCs w:val="24"/>
              </w:rPr>
              <w:br/>
              <w:t>2.</w:t>
            </w:r>
            <w:r w:rsidRPr="0046325F">
              <w:rPr>
                <w:rFonts w:eastAsia="仿宋_GB2312" w:hint="eastAsia"/>
                <w:sz w:val="24"/>
                <w:szCs w:val="24"/>
              </w:rPr>
              <w:t>每个专业配备</w:t>
            </w:r>
            <w:r w:rsidRPr="0046325F">
              <w:rPr>
                <w:rFonts w:eastAsia="仿宋_GB2312" w:hint="eastAsia"/>
                <w:sz w:val="24"/>
                <w:szCs w:val="24"/>
              </w:rPr>
              <w:t>1</w:t>
            </w:r>
            <w:r w:rsidRPr="0046325F">
              <w:rPr>
                <w:rFonts w:eastAsia="仿宋_GB2312" w:hint="eastAsia"/>
                <w:sz w:val="24"/>
                <w:szCs w:val="24"/>
              </w:rPr>
              <w:t>名专业负责人，专业负责人具有该专业的学科背景或教学经验，具备开展专业教学的能力，每名专业负责人负责的专业数不超过</w:t>
            </w:r>
            <w:r w:rsidRPr="0046325F">
              <w:rPr>
                <w:rFonts w:eastAsia="仿宋_GB2312" w:hint="eastAsia"/>
                <w:sz w:val="24"/>
                <w:szCs w:val="24"/>
              </w:rPr>
              <w:t>5</w:t>
            </w:r>
            <w:r w:rsidRPr="0046325F">
              <w:rPr>
                <w:rFonts w:eastAsia="仿宋_GB2312" w:hint="eastAsia"/>
                <w:sz w:val="24"/>
                <w:szCs w:val="24"/>
              </w:rPr>
              <w:t>个。</w:t>
            </w:r>
            <w:r w:rsidRPr="0046325F">
              <w:rPr>
                <w:rFonts w:eastAsia="仿宋_GB2312" w:hint="eastAsia"/>
                <w:sz w:val="24"/>
                <w:szCs w:val="24"/>
              </w:rPr>
              <w:br/>
              <w:t>3.</w:t>
            </w:r>
            <w:r w:rsidRPr="0046325F">
              <w:rPr>
                <w:rFonts w:eastAsia="仿宋_GB2312" w:hint="eastAsia"/>
                <w:sz w:val="24"/>
                <w:szCs w:val="24"/>
              </w:rPr>
              <w:t>专兼职教师数量与在籍生比例不低于</w:t>
            </w:r>
            <w:r w:rsidRPr="0046325F">
              <w:rPr>
                <w:rFonts w:eastAsia="仿宋_GB2312" w:hint="eastAsia"/>
                <w:sz w:val="24"/>
                <w:szCs w:val="24"/>
              </w:rPr>
              <w:t>1</w:t>
            </w:r>
            <w:r w:rsidRPr="0046325F">
              <w:rPr>
                <w:rFonts w:eastAsia="仿宋_GB2312" w:hint="eastAsia"/>
                <w:sz w:val="24"/>
                <w:szCs w:val="24"/>
              </w:rPr>
              <w:t>：</w:t>
            </w:r>
            <w:r w:rsidRPr="0046325F">
              <w:rPr>
                <w:rFonts w:eastAsia="仿宋_GB2312" w:hint="eastAsia"/>
                <w:sz w:val="24"/>
                <w:szCs w:val="24"/>
              </w:rPr>
              <w:t>200</w:t>
            </w:r>
            <w:r w:rsidRPr="0046325F">
              <w:rPr>
                <w:rFonts w:eastAsia="仿宋_GB2312" w:hint="eastAsia"/>
                <w:sz w:val="24"/>
                <w:szCs w:val="24"/>
              </w:rPr>
              <w:t>，专兼职班主任与在籍生比例不低于</w:t>
            </w:r>
            <w:r w:rsidRPr="0046325F">
              <w:rPr>
                <w:rFonts w:eastAsia="仿宋_GB2312" w:hint="eastAsia"/>
                <w:sz w:val="24"/>
                <w:szCs w:val="24"/>
              </w:rPr>
              <w:t>1</w:t>
            </w:r>
            <w:r w:rsidRPr="0046325F">
              <w:rPr>
                <w:rFonts w:eastAsia="仿宋_GB2312" w:hint="eastAsia"/>
                <w:sz w:val="24"/>
                <w:szCs w:val="24"/>
              </w:rPr>
              <w:t>：</w:t>
            </w:r>
            <w:r w:rsidRPr="0046325F">
              <w:rPr>
                <w:rFonts w:eastAsia="仿宋_GB2312" w:hint="eastAsia"/>
                <w:sz w:val="24"/>
                <w:szCs w:val="24"/>
              </w:rPr>
              <w:t>200</w:t>
            </w:r>
            <w:r w:rsidRPr="0046325F">
              <w:rPr>
                <w:rFonts w:eastAsia="仿宋_GB2312" w:hint="eastAsia"/>
                <w:sz w:val="24"/>
                <w:szCs w:val="24"/>
              </w:rPr>
              <w:t>。</w:t>
            </w:r>
            <w:r w:rsidRPr="0046325F">
              <w:rPr>
                <w:rFonts w:eastAsia="仿宋_GB2312" w:hint="eastAsia"/>
                <w:sz w:val="24"/>
                <w:szCs w:val="24"/>
              </w:rPr>
              <w:br/>
              <w:t>4.</w:t>
            </w:r>
            <w:r w:rsidRPr="0046325F">
              <w:rPr>
                <w:rFonts w:eastAsia="仿宋_GB2312" w:hint="eastAsia"/>
                <w:sz w:val="24"/>
                <w:szCs w:val="24"/>
              </w:rPr>
              <w:t>专业负责人为编制内人员或签订</w:t>
            </w:r>
            <w:r w:rsidRPr="0046325F">
              <w:rPr>
                <w:rFonts w:eastAsia="仿宋_GB2312" w:hint="eastAsia"/>
                <w:sz w:val="24"/>
                <w:szCs w:val="24"/>
              </w:rPr>
              <w:t>3</w:t>
            </w:r>
            <w:r w:rsidRPr="0046325F">
              <w:rPr>
                <w:rFonts w:eastAsia="仿宋_GB2312" w:hint="eastAsia"/>
                <w:sz w:val="24"/>
                <w:szCs w:val="24"/>
              </w:rPr>
              <w:t>年以上的劳动合同的专职人员或签订</w:t>
            </w:r>
            <w:r w:rsidRPr="0046325F">
              <w:rPr>
                <w:rFonts w:eastAsia="仿宋_GB2312" w:hint="eastAsia"/>
                <w:sz w:val="24"/>
                <w:szCs w:val="24"/>
              </w:rPr>
              <w:t>3</w:t>
            </w:r>
            <w:r w:rsidRPr="0046325F">
              <w:rPr>
                <w:rFonts w:eastAsia="仿宋_GB2312" w:hint="eastAsia"/>
                <w:sz w:val="24"/>
                <w:szCs w:val="24"/>
              </w:rPr>
              <w:t>年以上的聘用合同的兼职人员。</w:t>
            </w:r>
          </w:p>
        </w:tc>
      </w:tr>
      <w:tr w:rsidR="001832C2" w:rsidTr="001832C2">
        <w:trPr>
          <w:trHeight w:val="918"/>
        </w:trPr>
        <w:tc>
          <w:tcPr>
            <w:tcW w:w="709" w:type="dxa"/>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4</w:t>
            </w:r>
          </w:p>
        </w:tc>
        <w:tc>
          <w:tcPr>
            <w:tcW w:w="851" w:type="dxa"/>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生源基础</w:t>
            </w:r>
          </w:p>
        </w:tc>
        <w:tc>
          <w:tcPr>
            <w:tcW w:w="8505" w:type="dxa"/>
            <w:gridSpan w:val="2"/>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申报学习中心对所在地或行业有生源需求调研报告和招生工作方案，单季计划招生人数不少于</w:t>
            </w:r>
            <w:r w:rsidRPr="0046325F">
              <w:rPr>
                <w:rFonts w:eastAsia="仿宋_GB2312" w:hint="eastAsia"/>
                <w:sz w:val="24"/>
                <w:szCs w:val="24"/>
              </w:rPr>
              <w:t>50</w:t>
            </w:r>
            <w:r w:rsidRPr="0046325F">
              <w:rPr>
                <w:rFonts w:eastAsia="仿宋_GB2312" w:hint="eastAsia"/>
                <w:sz w:val="24"/>
                <w:szCs w:val="24"/>
              </w:rPr>
              <w:t>人（承担扶贫、残疾人教育、教学改革等特殊任务的申报单位除外）。</w:t>
            </w:r>
          </w:p>
        </w:tc>
      </w:tr>
      <w:tr w:rsidR="001832C2" w:rsidTr="001832C2">
        <w:trPr>
          <w:trHeight w:val="1224"/>
        </w:trPr>
        <w:tc>
          <w:tcPr>
            <w:tcW w:w="709" w:type="dxa"/>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5</w:t>
            </w:r>
          </w:p>
        </w:tc>
        <w:tc>
          <w:tcPr>
            <w:tcW w:w="851" w:type="dxa"/>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法人及校长资格</w:t>
            </w:r>
          </w:p>
        </w:tc>
        <w:tc>
          <w:tcPr>
            <w:tcW w:w="8505" w:type="dxa"/>
            <w:gridSpan w:val="2"/>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1.</w:t>
            </w:r>
            <w:r w:rsidRPr="0046325F">
              <w:rPr>
                <w:rFonts w:eastAsia="仿宋_GB2312" w:hint="eastAsia"/>
                <w:sz w:val="24"/>
                <w:szCs w:val="24"/>
              </w:rPr>
              <w:t>法人及校长须具备中华人民共和国国籍，身体健康，且在中国境内定居。</w:t>
            </w:r>
            <w:r w:rsidRPr="0046325F">
              <w:rPr>
                <w:rFonts w:eastAsia="仿宋_GB2312" w:hint="eastAsia"/>
                <w:sz w:val="24"/>
                <w:szCs w:val="24"/>
              </w:rPr>
              <w:br/>
              <w:t>2.</w:t>
            </w:r>
            <w:r w:rsidRPr="0046325F">
              <w:rPr>
                <w:rFonts w:eastAsia="仿宋_GB2312" w:hint="eastAsia"/>
                <w:sz w:val="24"/>
                <w:szCs w:val="24"/>
              </w:rPr>
              <w:t>法人及校长有完全民事行为能力，无犯罪记录，未被列入法院限制消费名单，信用状况良好。</w:t>
            </w:r>
            <w:r w:rsidRPr="0046325F">
              <w:rPr>
                <w:rFonts w:eastAsia="仿宋_GB2312" w:hint="eastAsia"/>
                <w:sz w:val="24"/>
                <w:szCs w:val="24"/>
              </w:rPr>
              <w:br/>
              <w:t>3.</w:t>
            </w:r>
            <w:r w:rsidRPr="0046325F">
              <w:rPr>
                <w:rFonts w:eastAsia="仿宋_GB2312" w:hint="eastAsia"/>
                <w:sz w:val="24"/>
                <w:szCs w:val="24"/>
              </w:rPr>
              <w:t>校长具有大学本科以上学历，年龄原则上不超过</w:t>
            </w:r>
            <w:r w:rsidRPr="0046325F">
              <w:rPr>
                <w:rFonts w:eastAsia="仿宋_GB2312" w:hint="eastAsia"/>
                <w:sz w:val="24"/>
                <w:szCs w:val="24"/>
              </w:rPr>
              <w:t>65</w:t>
            </w:r>
            <w:r w:rsidRPr="0046325F">
              <w:rPr>
                <w:rFonts w:eastAsia="仿宋_GB2312" w:hint="eastAsia"/>
                <w:sz w:val="24"/>
                <w:szCs w:val="24"/>
              </w:rPr>
              <w:t>岁。</w:t>
            </w:r>
          </w:p>
        </w:tc>
      </w:tr>
      <w:tr w:rsidR="001832C2" w:rsidTr="001832C2">
        <w:trPr>
          <w:trHeight w:val="2117"/>
        </w:trPr>
        <w:tc>
          <w:tcPr>
            <w:tcW w:w="709" w:type="dxa"/>
            <w:noWrap/>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6</w:t>
            </w:r>
          </w:p>
        </w:tc>
        <w:tc>
          <w:tcPr>
            <w:tcW w:w="851" w:type="dxa"/>
            <w:vAlign w:val="center"/>
          </w:tcPr>
          <w:p w:rsidR="001832C2" w:rsidRPr="0046325F" w:rsidRDefault="001832C2" w:rsidP="008D23B7">
            <w:pPr>
              <w:spacing w:line="400" w:lineRule="exact"/>
              <w:jc w:val="center"/>
              <w:rPr>
                <w:rFonts w:eastAsia="仿宋_GB2312"/>
                <w:sz w:val="24"/>
                <w:szCs w:val="24"/>
              </w:rPr>
            </w:pPr>
            <w:r w:rsidRPr="0046325F">
              <w:rPr>
                <w:rFonts w:eastAsia="仿宋_GB2312" w:hint="eastAsia"/>
                <w:sz w:val="24"/>
                <w:szCs w:val="24"/>
              </w:rPr>
              <w:t>系统外学习中心设点协议</w:t>
            </w:r>
          </w:p>
        </w:tc>
        <w:tc>
          <w:tcPr>
            <w:tcW w:w="8505" w:type="dxa"/>
            <w:gridSpan w:val="2"/>
          </w:tcPr>
          <w:p w:rsidR="001832C2" w:rsidRPr="0046325F" w:rsidRDefault="001832C2" w:rsidP="001832C2">
            <w:pPr>
              <w:spacing w:line="400" w:lineRule="exact"/>
              <w:rPr>
                <w:rFonts w:eastAsia="仿宋_GB2312"/>
                <w:sz w:val="24"/>
                <w:szCs w:val="24"/>
              </w:rPr>
            </w:pPr>
            <w:r w:rsidRPr="0046325F">
              <w:rPr>
                <w:rFonts w:eastAsia="仿宋_GB2312" w:hint="eastAsia"/>
                <w:sz w:val="24"/>
                <w:szCs w:val="24"/>
              </w:rPr>
              <w:t>与设点单位签署的系统外学习中心办学协议须由学校法定代表人或授权签字人签字，加盖学校公章。分部办学区域内的系统外学习中心由分部负责，专门学院、行业学院设立的系统外学习中心由总部负责。协议内容包括但不仅限于以下条款：</w:t>
            </w:r>
            <w:r w:rsidRPr="0046325F">
              <w:rPr>
                <w:rFonts w:eastAsia="仿宋_GB2312" w:hint="eastAsia"/>
                <w:sz w:val="24"/>
                <w:szCs w:val="24"/>
              </w:rPr>
              <w:br/>
              <w:t>1.</w:t>
            </w:r>
            <w:r w:rsidRPr="0046325F">
              <w:rPr>
                <w:rFonts w:eastAsia="仿宋_GB2312" w:hint="eastAsia"/>
                <w:sz w:val="24"/>
                <w:szCs w:val="24"/>
              </w:rPr>
              <w:t>系统外学习中心的名称、地点、管理人员等基本情况；</w:t>
            </w:r>
            <w:r w:rsidRPr="0046325F">
              <w:rPr>
                <w:rFonts w:eastAsia="仿宋_GB2312" w:hint="eastAsia"/>
                <w:sz w:val="24"/>
                <w:szCs w:val="24"/>
              </w:rPr>
              <w:br/>
              <w:t>2.</w:t>
            </w:r>
            <w:r w:rsidRPr="0046325F">
              <w:rPr>
                <w:rFonts w:eastAsia="仿宋_GB2312" w:hint="eastAsia"/>
                <w:sz w:val="24"/>
                <w:szCs w:val="24"/>
              </w:rPr>
              <w:t>可供系统外学习中心使用的办学条件，含辅导教师、教辅人员情况、场地、设施设备和学习资源等；</w:t>
            </w:r>
            <w:r w:rsidRPr="0046325F">
              <w:rPr>
                <w:rFonts w:eastAsia="仿宋_GB2312" w:hint="eastAsia"/>
                <w:sz w:val="24"/>
                <w:szCs w:val="24"/>
              </w:rPr>
              <w:br/>
              <w:t>3.</w:t>
            </w:r>
            <w:r w:rsidRPr="0046325F">
              <w:rPr>
                <w:rFonts w:eastAsia="仿宋_GB2312" w:hint="eastAsia"/>
                <w:sz w:val="24"/>
                <w:szCs w:val="24"/>
              </w:rPr>
              <w:t>分部（学院）与系统外学习中心的职责、权利和义务；</w:t>
            </w:r>
            <w:r w:rsidRPr="0046325F">
              <w:rPr>
                <w:rFonts w:eastAsia="仿宋_GB2312" w:hint="eastAsia"/>
                <w:sz w:val="24"/>
                <w:szCs w:val="24"/>
              </w:rPr>
              <w:br/>
              <w:t>4.</w:t>
            </w:r>
            <w:r w:rsidRPr="0046325F">
              <w:rPr>
                <w:rFonts w:eastAsia="仿宋_GB2312" w:hint="eastAsia"/>
                <w:sz w:val="24"/>
                <w:szCs w:val="24"/>
              </w:rPr>
              <w:t>拟开设专业名称、层次、学制、培养目标、招生对象、线下面授教学和辅导（</w:t>
            </w:r>
            <w:proofErr w:type="gramStart"/>
            <w:r w:rsidRPr="0046325F">
              <w:rPr>
                <w:rFonts w:eastAsia="仿宋_GB2312" w:hint="eastAsia"/>
                <w:sz w:val="24"/>
                <w:szCs w:val="24"/>
              </w:rPr>
              <w:t>含实践</w:t>
            </w:r>
            <w:proofErr w:type="gramEnd"/>
            <w:r w:rsidRPr="0046325F">
              <w:rPr>
                <w:rFonts w:eastAsia="仿宋_GB2312" w:hint="eastAsia"/>
                <w:sz w:val="24"/>
                <w:szCs w:val="24"/>
              </w:rPr>
              <w:t>教学）学时比例、拟招生人数、招生范围、学费标准等；</w:t>
            </w:r>
            <w:r w:rsidRPr="0046325F">
              <w:rPr>
                <w:rFonts w:eastAsia="仿宋_GB2312" w:hint="eastAsia"/>
                <w:sz w:val="24"/>
                <w:szCs w:val="24"/>
              </w:rPr>
              <w:br/>
              <w:t>5.</w:t>
            </w:r>
            <w:r w:rsidRPr="0046325F">
              <w:rPr>
                <w:rFonts w:eastAsia="仿宋_GB2312" w:hint="eastAsia"/>
                <w:sz w:val="24"/>
                <w:szCs w:val="24"/>
              </w:rPr>
              <w:t>分部（学院）与设点单位的经费分配比例（设点单位学费比例原则上不超过学生学费总额的一半）；</w:t>
            </w:r>
            <w:r w:rsidRPr="0046325F">
              <w:rPr>
                <w:rFonts w:eastAsia="仿宋_GB2312" w:hint="eastAsia"/>
                <w:sz w:val="24"/>
                <w:szCs w:val="24"/>
              </w:rPr>
              <w:br/>
              <w:t>6.</w:t>
            </w:r>
            <w:r w:rsidRPr="0046325F">
              <w:rPr>
                <w:rFonts w:eastAsia="仿宋_GB2312" w:hint="eastAsia"/>
                <w:sz w:val="24"/>
                <w:szCs w:val="24"/>
              </w:rPr>
              <w:t>履行协议的有效期限（原则上不超过</w:t>
            </w:r>
            <w:r w:rsidRPr="0046325F">
              <w:rPr>
                <w:rFonts w:eastAsia="仿宋_GB2312" w:hint="eastAsia"/>
                <w:sz w:val="24"/>
                <w:szCs w:val="24"/>
              </w:rPr>
              <w:t>3</w:t>
            </w:r>
            <w:r w:rsidRPr="0046325F">
              <w:rPr>
                <w:rFonts w:eastAsia="仿宋_GB2312" w:hint="eastAsia"/>
                <w:sz w:val="24"/>
                <w:szCs w:val="24"/>
              </w:rPr>
              <w:t>年）；</w:t>
            </w:r>
            <w:r w:rsidRPr="0046325F">
              <w:rPr>
                <w:rFonts w:eastAsia="仿宋_GB2312" w:hint="eastAsia"/>
                <w:sz w:val="24"/>
                <w:szCs w:val="24"/>
              </w:rPr>
              <w:br/>
              <w:t>7.</w:t>
            </w:r>
            <w:r w:rsidRPr="0046325F">
              <w:rPr>
                <w:rFonts w:eastAsia="仿宋_GB2312" w:hint="eastAsia"/>
                <w:sz w:val="24"/>
                <w:szCs w:val="24"/>
              </w:rPr>
              <w:t>变更协议及违反协议的处理办法等；</w:t>
            </w:r>
            <w:r w:rsidRPr="0046325F">
              <w:rPr>
                <w:rFonts w:eastAsia="仿宋_GB2312" w:hint="eastAsia"/>
                <w:sz w:val="24"/>
                <w:szCs w:val="24"/>
              </w:rPr>
              <w:br/>
              <w:t>8.</w:t>
            </w:r>
            <w:r w:rsidRPr="0046325F">
              <w:rPr>
                <w:rFonts w:eastAsia="仿宋_GB2312" w:hint="eastAsia"/>
                <w:sz w:val="24"/>
                <w:szCs w:val="24"/>
              </w:rPr>
              <w:t>办学风险防控相关规定。</w:t>
            </w:r>
          </w:p>
        </w:tc>
      </w:tr>
    </w:tbl>
    <w:p w:rsidR="00237613" w:rsidRPr="001832C2" w:rsidRDefault="006A650A" w:rsidP="001832C2">
      <w:pPr>
        <w:spacing w:line="560" w:lineRule="exact"/>
      </w:pPr>
    </w:p>
    <w:sectPr w:rsidR="00237613" w:rsidRPr="001832C2" w:rsidSect="001832C2">
      <w:footerReference w:type="default" r:id="rId7"/>
      <w:pgSz w:w="11906" w:h="16838"/>
      <w:pgMar w:top="567" w:right="1797" w:bottom="624" w:left="1797" w:header="851" w:footer="510" w:gutter="0"/>
      <w:pgNumType w:start="15"/>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0A" w:rsidRDefault="006A650A" w:rsidP="001832C2">
      <w:r>
        <w:separator/>
      </w:r>
    </w:p>
  </w:endnote>
  <w:endnote w:type="continuationSeparator" w:id="0">
    <w:p w:rsidR="006A650A" w:rsidRDefault="006A650A" w:rsidP="0018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45498"/>
      <w:docPartObj>
        <w:docPartGallery w:val="Page Numbers (Bottom of Page)"/>
        <w:docPartUnique/>
      </w:docPartObj>
    </w:sdtPr>
    <w:sdtContent>
      <w:p w:rsidR="001832C2" w:rsidRDefault="001832C2">
        <w:pPr>
          <w:pStyle w:val="a5"/>
          <w:jc w:val="center"/>
        </w:pPr>
        <w:r>
          <w:fldChar w:fldCharType="begin"/>
        </w:r>
        <w:r>
          <w:instrText>PAGE   \* MERGEFORMAT</w:instrText>
        </w:r>
        <w:r>
          <w:fldChar w:fldCharType="separate"/>
        </w:r>
        <w:r w:rsidR="00795722" w:rsidRPr="00795722">
          <w:rPr>
            <w:noProof/>
            <w:lang w:val="zh-CN"/>
          </w:rPr>
          <w:t>15</w:t>
        </w:r>
        <w:r>
          <w:fldChar w:fldCharType="end"/>
        </w:r>
      </w:p>
    </w:sdtContent>
  </w:sdt>
  <w:p w:rsidR="001832C2" w:rsidRDefault="001832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0A" w:rsidRDefault="006A650A" w:rsidP="001832C2">
      <w:r>
        <w:separator/>
      </w:r>
    </w:p>
  </w:footnote>
  <w:footnote w:type="continuationSeparator" w:id="0">
    <w:p w:rsidR="006A650A" w:rsidRDefault="006A650A" w:rsidP="00183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C2"/>
    <w:rsid w:val="0005677D"/>
    <w:rsid w:val="001832C2"/>
    <w:rsid w:val="006A650A"/>
    <w:rsid w:val="00795722"/>
    <w:rsid w:val="00D8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832C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83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32C2"/>
    <w:rPr>
      <w:sz w:val="18"/>
      <w:szCs w:val="18"/>
    </w:rPr>
  </w:style>
  <w:style w:type="paragraph" w:styleId="a5">
    <w:name w:val="footer"/>
    <w:basedOn w:val="a"/>
    <w:link w:val="Char0"/>
    <w:uiPriority w:val="99"/>
    <w:unhideWhenUsed/>
    <w:rsid w:val="001832C2"/>
    <w:pPr>
      <w:tabs>
        <w:tab w:val="center" w:pos="4153"/>
        <w:tab w:val="right" w:pos="8306"/>
      </w:tabs>
      <w:snapToGrid w:val="0"/>
      <w:jc w:val="left"/>
    </w:pPr>
    <w:rPr>
      <w:sz w:val="18"/>
      <w:szCs w:val="18"/>
    </w:rPr>
  </w:style>
  <w:style w:type="character" w:customStyle="1" w:styleId="Char0">
    <w:name w:val="页脚 Char"/>
    <w:basedOn w:val="a0"/>
    <w:link w:val="a5"/>
    <w:uiPriority w:val="99"/>
    <w:rsid w:val="001832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832C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83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32C2"/>
    <w:rPr>
      <w:sz w:val="18"/>
      <w:szCs w:val="18"/>
    </w:rPr>
  </w:style>
  <w:style w:type="paragraph" w:styleId="a5">
    <w:name w:val="footer"/>
    <w:basedOn w:val="a"/>
    <w:link w:val="Char0"/>
    <w:uiPriority w:val="99"/>
    <w:unhideWhenUsed/>
    <w:rsid w:val="001832C2"/>
    <w:pPr>
      <w:tabs>
        <w:tab w:val="center" w:pos="4153"/>
        <w:tab w:val="right" w:pos="8306"/>
      </w:tabs>
      <w:snapToGrid w:val="0"/>
      <w:jc w:val="left"/>
    </w:pPr>
    <w:rPr>
      <w:sz w:val="18"/>
      <w:szCs w:val="18"/>
    </w:rPr>
  </w:style>
  <w:style w:type="character" w:customStyle="1" w:styleId="Char0">
    <w:name w:val="页脚 Char"/>
    <w:basedOn w:val="a0"/>
    <w:link w:val="a5"/>
    <w:uiPriority w:val="99"/>
    <w:rsid w:val="001832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1561</Characters>
  <Application>Microsoft Office Word</Application>
  <DocSecurity>0</DocSecurity>
  <Lines>13</Lines>
  <Paragraphs>3</Paragraphs>
  <ScaleCrop>false</ScaleCrop>
  <Company>微软中国</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2023-12-08T06:35:00Z</dcterms:created>
  <dcterms:modified xsi:type="dcterms:W3CDTF">2023-12-08T07:04:00Z</dcterms:modified>
</cp:coreProperties>
</file>