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AF43EB">
      <w:pPr>
        <w:pStyle w:val="15"/>
        <w:rPr>
          <w:rFonts w:hint="eastAsia" w:ascii="Times New Roman" w:hAnsi="Times New Roman" w:eastAsia="方正小标宋简体" w:cs="方正小标宋简体"/>
          <w:rPrChange w:id="0" w:author="zj" w:date="2026-07-17T19:26:08Z">
            <w:rPr/>
          </w:rPrChange>
        </w:rPr>
      </w:pPr>
      <mc:AlternateContent>
        <mc:Choice Requires="wpsCustomData">
          <wpsCustomData:docfieldStart id="0" docfieldname="标题_1" hidden="0" print="1" readonly="0" index="1"/>
        </mc:Choice>
      </mc:AlternateContent>
      <w:r>
        <w:rPr>
          <w:rFonts w:hint="eastAsia" w:ascii="Times New Roman" w:hAnsi="Times New Roman" w:eastAsia="方正小标宋简体" w:cs="方正小标宋简体"/>
          <w:rPrChange w:id="1" w:author="zj" w:date="2026-07-17T19:26:08Z">
            <w:rPr/>
          </w:rPrChange>
        </w:rPr>
        <w:t>2026年度安徽开放大学校级课题选题指南</w:t>
      </w:r>
      <mc:AlternateContent>
        <mc:Choice Requires="wpsCustomData">
          <wpsCustomData:docfieldEnd id="0"/>
        </mc:Choice>
      </mc:AlternateContent>
    </w:p>
    <w:p w14:paraId="2B2FA003">
      <w:pPr>
        <w:pStyle w:val="11"/>
        <w:bidi w:val="0"/>
        <w:spacing w:beforeAutospacing="0" w:afterAutospacing="0" w:line="300" w:lineRule="exact"/>
        <w:rPr>
          <w:rFonts w:ascii="Times New Roman" w:hAnsi="Times New Roman"/>
        </w:rPr>
      </w:pPr>
    </w:p>
    <w:p w14:paraId="6343791F">
      <w:pPr>
        <w:pStyle w:val="11"/>
        <w:rPr>
          <w:rFonts w:ascii="Times New Roman" w:hAnsi="Times New Roman" w:eastAsia="方正仿宋_GB2312" w:cs="方正仿宋_GB2312"/>
          <w:sz w:val="32"/>
          <w:szCs w:val="32"/>
        </w:rPr>
      </w:pPr>
      <w:r>
        <w:rPr>
          <w:rFonts w:ascii="Times New Roman" w:hAnsi="Times New Roman" w:eastAsia="方正仿宋_GB2312" w:cs="方正仿宋_GB2312"/>
          <w:sz w:val="32"/>
          <w:szCs w:val="32"/>
        </w:rPr>
        <w:t>为深入贯彻习近平新时代中国特色社会主义思想，全面落实教育数字化战略与</w:t>
      </w:r>
      <w:r>
        <w:rPr>
          <w:rFonts w:hint="eastAsia" w:cs="方正仿宋_GB2312"/>
          <w:sz w:val="32"/>
          <w:szCs w:val="32"/>
          <w:lang w:eastAsia="zh-CN"/>
        </w:rPr>
        <w:t>“</w:t>
      </w:r>
      <w:r>
        <w:rPr>
          <w:rFonts w:hint="eastAsia" w:ascii="Times New Roman" w:hAnsi="Times New Roman" w:cs="方正仿宋_GB2312"/>
          <w:sz w:val="32"/>
          <w:szCs w:val="32"/>
          <w:lang w:eastAsia="zh-CN"/>
        </w:rPr>
        <w:t>十五五</w:t>
      </w:r>
      <w:r>
        <w:rPr>
          <w:rFonts w:hint="eastAsia" w:cs="方正仿宋_GB2312"/>
          <w:sz w:val="32"/>
          <w:szCs w:val="32"/>
          <w:lang w:eastAsia="zh-CN"/>
        </w:rPr>
        <w:t>”</w:t>
      </w:r>
      <w:r>
        <w:rPr>
          <w:rFonts w:hint="eastAsia" w:ascii="Times New Roman" w:hAnsi="Times New Roman" w:cs="方正仿宋_GB2312"/>
          <w:sz w:val="32"/>
          <w:szCs w:val="32"/>
          <w:lang w:eastAsia="zh-CN"/>
        </w:rPr>
        <w:t>规划</w:t>
      </w:r>
      <w:r>
        <w:rPr>
          <w:rFonts w:ascii="Times New Roman" w:hAnsi="Times New Roman" w:eastAsia="方正仿宋_GB2312" w:cs="方正仿宋_GB2312"/>
          <w:sz w:val="32"/>
          <w:szCs w:val="32"/>
        </w:rPr>
        <w:t>部署，深化有组织科研与科研范式变革，服务学校高质量发展与长三角开放教育协同发展，特制定本指南。</w:t>
      </w:r>
    </w:p>
    <w:p w14:paraId="22AD518F">
      <w:pPr>
        <w:pStyle w:val="11"/>
        <w:rPr>
          <w:rFonts w:ascii="Times New Roman" w:hAnsi="Times New Roman" w:eastAsia="方正仿宋_GB2312" w:cs="方正仿宋_GB2312"/>
          <w:sz w:val="32"/>
          <w:szCs w:val="32"/>
        </w:rPr>
      </w:pPr>
      <w:r>
        <w:rPr>
          <w:rFonts w:ascii="Times New Roman" w:hAnsi="Times New Roman" w:eastAsia="方正仿宋_GB2312" w:cs="方正仿宋_GB2312"/>
          <w:sz w:val="32"/>
          <w:szCs w:val="32"/>
        </w:rPr>
        <w:t>本指南坚持</w:t>
      </w:r>
      <w:r>
        <w:rPr>
          <w:rFonts w:ascii="Times New Roman" w:hAnsi="Times New Roman" w:eastAsia="方正仿宋_GB2312" w:cs="方正仿宋_GB2312"/>
          <w:b/>
          <w:sz w:val="32"/>
          <w:szCs w:val="32"/>
        </w:rPr>
        <w:t>政治引领、立足校情、服务安徽、强化创新</w:t>
      </w:r>
      <w:r>
        <w:rPr>
          <w:rFonts w:ascii="Times New Roman" w:hAnsi="Times New Roman" w:eastAsia="方正仿宋_GB2312" w:cs="方正仿宋_GB2312"/>
          <w:sz w:val="32"/>
          <w:szCs w:val="32"/>
        </w:rPr>
        <w:t xml:space="preserve">，统筹理论研究与实践应用，聚焦关键领域、凝练研究方向、建强科研团队、推动成果转化，全面贯彻党的二十大及二十届三中、四中全会精神，立足新发展格局，锚定教育强国建设目标，完善终身学习体系，助力安徽现代化建设，产出务实管用、可复制可推广的高质量科研成果。 </w:t>
      </w:r>
    </w:p>
    <w:p w14:paraId="1E2AB782">
      <w:pPr>
        <w:pStyle w:val="11"/>
        <w:rPr>
          <w:rFonts w:ascii="Times New Roman" w:hAnsi="Times New Roman" w:eastAsia="方正仿宋_GB2312" w:cs="方正仿宋_GB2312"/>
          <w:sz w:val="32"/>
          <w:szCs w:val="32"/>
        </w:rPr>
      </w:pPr>
      <w:r>
        <w:rPr>
          <w:rFonts w:ascii="Times New Roman" w:hAnsi="Times New Roman" w:eastAsia="方正仿宋_GB2312" w:cs="方正仿宋_GB2312"/>
          <w:sz w:val="32"/>
          <w:szCs w:val="32"/>
        </w:rPr>
        <w:t>★本指南仅为</w:t>
      </w:r>
      <w:r>
        <w:rPr>
          <w:rFonts w:ascii="Times New Roman" w:hAnsi="Times New Roman" w:eastAsia="方正仿宋_GB2312" w:cs="方正仿宋_GB2312"/>
          <w:b/>
          <w:sz w:val="32"/>
          <w:szCs w:val="32"/>
        </w:rPr>
        <w:t>重点选题</w:t>
      </w:r>
      <w:r>
        <w:rPr>
          <w:rFonts w:ascii="Times New Roman" w:hAnsi="Times New Roman" w:eastAsia="方正仿宋_GB2312" w:cs="方正仿宋_GB2312"/>
          <w:sz w:val="32"/>
          <w:szCs w:val="32"/>
        </w:rPr>
        <w:t>方向，供申报教师参考选用，不限制青年教师</w:t>
      </w:r>
      <w:r>
        <w:rPr>
          <w:rFonts w:ascii="Times New Roman" w:hAnsi="Times New Roman" w:eastAsia="方正仿宋_GB2312" w:cs="方正仿宋_GB2312"/>
          <w:b/>
          <w:sz w:val="32"/>
          <w:szCs w:val="32"/>
        </w:rPr>
        <w:t>自主选题</w:t>
      </w:r>
      <w:r>
        <w:rPr>
          <w:rFonts w:ascii="Times New Roman" w:hAnsi="Times New Roman" w:eastAsia="方正仿宋_GB2312" w:cs="方正仿宋_GB2312"/>
          <w:sz w:val="32"/>
          <w:szCs w:val="32"/>
        </w:rPr>
        <w:t>。鼓励</w:t>
      </w:r>
      <w:r>
        <w:rPr>
          <w:rFonts w:ascii="Times New Roman" w:hAnsi="Times New Roman" w:eastAsia="方正仿宋_GB2312" w:cs="方正仿宋_GB2312"/>
          <w:b/>
          <w:sz w:val="32"/>
          <w:szCs w:val="32"/>
        </w:rPr>
        <w:t>青年教师</w:t>
      </w:r>
      <w:r>
        <w:rPr>
          <w:rFonts w:ascii="Times New Roman" w:hAnsi="Times New Roman" w:eastAsia="方正仿宋_GB2312" w:cs="方正仿宋_GB2312"/>
          <w:sz w:val="32"/>
          <w:szCs w:val="32"/>
        </w:rPr>
        <w:t>立足自身学科专业优势、教学实践痛点与研究积累，自主确定具有创新性、针对性、实践性的开放式研究题目，突出问题导向与应用导向。</w:t>
      </w:r>
      <w:r>
        <w:rPr>
          <w:rFonts w:ascii="Times New Roman" w:hAnsi="Times New Roman" w:eastAsia="方正仿宋_GB2312" w:cs="方正仿宋_GB2312"/>
          <w:b/>
          <w:sz w:val="32"/>
          <w:szCs w:val="32"/>
        </w:rPr>
        <w:t>青年教师</w:t>
      </w:r>
      <w:r>
        <w:rPr>
          <w:rFonts w:ascii="Times New Roman" w:hAnsi="Times New Roman" w:eastAsia="方正仿宋_GB2312" w:cs="方正仿宋_GB2312"/>
          <w:sz w:val="32"/>
          <w:szCs w:val="32"/>
        </w:rPr>
        <w:t>申报须满足</w:t>
      </w:r>
      <w:r>
        <w:rPr>
          <w:rFonts w:ascii="Times New Roman" w:hAnsi="Times New Roman" w:eastAsia="方正仿宋_GB2312" w:cs="方正仿宋_GB2312"/>
          <w:b/>
          <w:sz w:val="32"/>
          <w:szCs w:val="32"/>
        </w:rPr>
        <w:t xml:space="preserve"> 40 周岁（含）以下</w:t>
      </w:r>
      <w:r>
        <w:rPr>
          <w:rFonts w:ascii="Times New Roman" w:hAnsi="Times New Roman" w:eastAsia="方正仿宋_GB2312" w:cs="方正仿宋_GB2312"/>
          <w:sz w:val="32"/>
          <w:szCs w:val="32"/>
        </w:rPr>
        <w:t>，其</w:t>
      </w:r>
      <w:r>
        <w:rPr>
          <w:rFonts w:ascii="Times New Roman" w:hAnsi="Times New Roman" w:eastAsia="方正仿宋_GB2312" w:cs="方正仿宋_GB2312"/>
          <w:b/>
          <w:sz w:val="32"/>
          <w:szCs w:val="32"/>
        </w:rPr>
        <w:t>申报数量</w:t>
      </w:r>
      <w:r>
        <w:rPr>
          <w:rFonts w:ascii="Times New Roman" w:hAnsi="Times New Roman" w:eastAsia="方正仿宋_GB2312" w:cs="方正仿宋_GB2312"/>
          <w:sz w:val="32"/>
          <w:szCs w:val="32"/>
        </w:rPr>
        <w:t>占所在学院课题</w:t>
      </w:r>
      <w:r>
        <w:rPr>
          <w:rFonts w:ascii="Times New Roman" w:hAnsi="Times New Roman" w:eastAsia="方正仿宋_GB2312" w:cs="方正仿宋_GB2312"/>
          <w:b/>
          <w:sz w:val="32"/>
          <w:szCs w:val="32"/>
        </w:rPr>
        <w:t>申报总数</w:t>
      </w:r>
      <w:r>
        <w:rPr>
          <w:rFonts w:ascii="Times New Roman" w:hAnsi="Times New Roman" w:eastAsia="方正仿宋_GB2312" w:cs="方正仿宋_GB2312"/>
          <w:sz w:val="32"/>
          <w:szCs w:val="32"/>
        </w:rPr>
        <w:t xml:space="preserve">的比例应控制在 </w:t>
      </w:r>
      <w:r>
        <w:rPr>
          <w:rFonts w:ascii="Times New Roman" w:hAnsi="Times New Roman" w:eastAsia="方正仿宋_GB2312" w:cs="方正仿宋_GB2312"/>
          <w:b/>
          <w:sz w:val="32"/>
          <w:szCs w:val="32"/>
        </w:rPr>
        <w:t>30％（含）以下</w:t>
      </w:r>
      <w:r>
        <w:rPr>
          <w:rFonts w:ascii="Times New Roman" w:hAnsi="Times New Roman" w:eastAsia="方正仿宋_GB2312" w:cs="方正仿宋_GB2312"/>
          <w:sz w:val="32"/>
          <w:szCs w:val="32"/>
        </w:rPr>
        <w:t>，确保课题申报结构合理、重点突出、质量优先。</w:t>
      </w:r>
    </w:p>
    <w:p w14:paraId="628F04E8">
      <w:pPr>
        <w:pStyle w:val="2"/>
        <w:numPr>
          <w:ilvl w:val="0"/>
          <w:numId w:val="0"/>
        </w:numPr>
        <w:topLinePunct w:val="0"/>
        <w:ind w:left="0" w:leftChars="0" w:firstLine="640"/>
        <w:rPr>
          <w:rFonts w:ascii="Times New Roman" w:hAnsi="Times New Roman"/>
          <w:b w:val="0"/>
        </w:rPr>
      </w:pPr>
      <w:bookmarkStart w:id="0" w:name="heading_1"/>
      <w:r>
        <w:rPr>
          <w:rFonts w:hint="eastAsia" w:ascii="Times New Roman" w:hAnsi="Times New Roman"/>
          <w:lang w:eastAsia="zh-CN"/>
        </w:rPr>
        <w:t>一、</w:t>
      </w:r>
      <w:r>
        <w:rPr>
          <w:rFonts w:ascii="Times New Roman" w:hAnsi="Times New Roman"/>
        </w:rPr>
        <w:t>选题方向</w:t>
      </w:r>
      <w:bookmarkEnd w:id="0"/>
    </w:p>
    <w:p w14:paraId="6F26C41E">
      <w:pPr>
        <w:pStyle w:val="3"/>
        <w:numPr>
          <w:ilvl w:val="0"/>
          <w:numId w:val="0"/>
        </w:numPr>
        <w:topLinePunct w:val="0"/>
        <w:ind w:left="0" w:leftChars="0" w:firstLine="640"/>
        <w:rPr>
          <w:rFonts w:hint="eastAsia" w:ascii="Times New Roman" w:hAnsi="Times New Roman" w:eastAsia="方正楷体_GB2312" w:cs="方正楷体_GB2312"/>
          <w:b w:val="0"/>
        </w:rPr>
      </w:pPr>
      <w:bookmarkStart w:id="1" w:name="heading_2"/>
      <w:r>
        <w:rPr>
          <w:rFonts w:hint="eastAsia" w:ascii="Times New Roman" w:hAnsi="Times New Roman"/>
          <w:lang w:eastAsia="zh-CN"/>
        </w:rPr>
        <w:t>（一）</w:t>
      </w:r>
      <w:r>
        <w:rPr>
          <w:rFonts w:ascii="Times New Roman" w:hAnsi="Times New Roman"/>
        </w:rPr>
        <w:t>习近平新时代中国特色社会主义思想研究（思政专项）</w:t>
      </w:r>
      <w:bookmarkEnd w:id="1"/>
    </w:p>
    <w:p w14:paraId="3618172D">
      <w:pPr>
        <w:pStyle w:val="4"/>
        <w:numPr>
          <w:ilvl w:val="0"/>
          <w:numId w:val="0"/>
        </w:numPr>
        <w:ind w:left="0" w:leftChars="0" w:firstLine="640"/>
        <w:rPr>
          <w:rFonts w:ascii="Times New Roman" w:hAnsi="Times New Roman"/>
          <w:b w:val="0"/>
        </w:rPr>
      </w:pPr>
      <w:r>
        <w:rPr>
          <w:rFonts w:hint="eastAsia" w:ascii="Times New Roman" w:hAnsi="Times New Roman"/>
          <w:lang w:eastAsia="zh-CN"/>
        </w:rPr>
        <w:t>1.</w:t>
      </w:r>
      <w:r>
        <w:rPr>
          <w:rFonts w:hint="eastAsia" w:ascii="Times New Roman" w:hAnsi="Times New Roman" w:eastAsia="方正仿宋_GBK" w:cs="方正仿宋_GBK"/>
          <w:sz w:val="32"/>
          <w:szCs w:val="32"/>
          <w:lang w:eastAsia="zh-CN"/>
        </w:rPr>
        <w:t xml:space="preserve"> </w:t>
      </w:r>
      <w:r>
        <w:rPr>
          <w:rFonts w:ascii="Times New Roman" w:hAnsi="Times New Roman"/>
        </w:rPr>
        <w:t>习近平总书记考察安徽重要讲话精神融入学校思想政治工作路径研究</w:t>
      </w:r>
    </w:p>
    <w:p w14:paraId="6937A0C9">
      <w:pPr>
        <w:pStyle w:val="11"/>
        <w:rPr>
          <w:rFonts w:ascii="Times New Roman" w:hAnsi="Times New Roman" w:eastAsia="方正仿宋_GB2312" w:cs="方正仿宋_GB2312"/>
          <w:sz w:val="32"/>
          <w:szCs w:val="32"/>
        </w:rPr>
      </w:pPr>
      <w:r>
        <w:rPr>
          <w:rFonts w:ascii="Times New Roman" w:hAnsi="Times New Roman" w:eastAsia="方正仿宋_GB2312" w:cs="方正仿宋_GB2312"/>
          <w:sz w:val="32"/>
          <w:szCs w:val="32"/>
        </w:rPr>
        <w:t>【研究方向】聚焦习近平总书记考察安徽重要讲话的核心要义，结合开放大学办学特点与学生群体特征，探索将讲话精神融入思政课堂、校园文化、实践教学、线上线下育人全过程的具体路径，构建适配开放教育的思政育人体系，助力安徽开放大学思政工作提质增效。</w:t>
      </w:r>
    </w:p>
    <w:p w14:paraId="76D35996">
      <w:pPr>
        <w:pStyle w:val="4"/>
        <w:numPr>
          <w:ilvl w:val="0"/>
          <w:numId w:val="0"/>
        </w:numPr>
        <w:ind w:left="0" w:leftChars="0" w:firstLine="640"/>
        <w:rPr>
          <w:rFonts w:ascii="Times New Roman" w:hAnsi="Times New Roman"/>
          <w:b w:val="0"/>
        </w:rPr>
      </w:pPr>
      <w:r>
        <w:rPr>
          <w:rFonts w:hint="eastAsia" w:ascii="Times New Roman" w:hAnsi="Times New Roman"/>
          <w:lang w:eastAsia="zh-CN"/>
        </w:rPr>
        <w:t>2.</w:t>
      </w:r>
      <w:r>
        <w:rPr>
          <w:rFonts w:hint="eastAsia" w:ascii="Times New Roman" w:hAnsi="Times New Roman" w:eastAsia="方正仿宋_GBK" w:cs="方正仿宋_GBK"/>
          <w:sz w:val="32"/>
          <w:szCs w:val="32"/>
          <w:lang w:eastAsia="zh-CN"/>
        </w:rPr>
        <w:t xml:space="preserve"> </w:t>
      </w:r>
      <w:r>
        <w:rPr>
          <w:rFonts w:ascii="Times New Roman" w:hAnsi="Times New Roman"/>
        </w:rPr>
        <w:t>以高质量党建引领开放大学高质量发展机制研究</w:t>
      </w:r>
    </w:p>
    <w:p w14:paraId="69F88DB6">
      <w:pPr>
        <w:pStyle w:val="11"/>
        <w:rPr>
          <w:rFonts w:ascii="Times New Roman" w:hAnsi="Times New Roman" w:eastAsia="方正仿宋_GB2312" w:cs="方正仿宋_GB2312"/>
          <w:sz w:val="32"/>
          <w:szCs w:val="32"/>
        </w:rPr>
      </w:pPr>
      <w:r>
        <w:rPr>
          <w:rFonts w:ascii="Times New Roman" w:hAnsi="Times New Roman" w:eastAsia="方正仿宋_GB2312" w:cs="方正仿宋_GB2312"/>
          <w:sz w:val="32"/>
          <w:szCs w:val="32"/>
        </w:rPr>
        <w:t>【研究方向】围绕新时代高校党建工作要求，立足开放大学体系化办学、数字化转型、社会化服务的发展需求，剖析党建与教学、科研、社会服务、治理现代化深度融合的内在逻辑，构建高质量党建引领学科建设、师资培育、资源整合、服务地</w:t>
      </w:r>
      <w:r>
        <w:rPr>
          <w:rFonts w:ascii="Times New Roman" w:hAnsi="Times New Roman" w:eastAsia="方正仿宋_GB2312" w:cs="方正仿宋_GB2312"/>
          <w:spacing wpsCustomData:val="-6" w:val="0"/>
          <w:sz w:val="32"/>
          <w:szCs w:val="32"/>
        </w:rPr>
        <w:t>方的长效机制，为开放大学可持续发展提供政治保障与组</w:t>
      </w:r>
      <w:r>
        <w:rPr>
          <w:rFonts w:ascii="Times New Roman" w:hAnsi="Times New Roman" w:eastAsia="方正仿宋_GB2312" w:cs="方正仿宋_GB2312"/>
          <w:spacing wpsCustomData:val="-6" w:val="-6"/>
          <w:sz w:val="32"/>
          <w:szCs w:val="32"/>
        </w:rPr>
        <w:t>织</w:t>
      </w:r>
      <w:r>
        <w:rPr>
          <w:rFonts w:ascii="Times New Roman" w:hAnsi="Times New Roman" w:eastAsia="方正仿宋_GB2312" w:cs="方正仿宋_GB2312"/>
          <w:sz w:val="32"/>
          <w:szCs w:val="32"/>
        </w:rPr>
        <w:t>支撑。</w:t>
      </w:r>
    </w:p>
    <w:p w14:paraId="5488BB79">
      <w:pPr>
        <w:pStyle w:val="4"/>
        <w:numPr>
          <w:ilvl w:val="0"/>
          <w:numId w:val="0"/>
        </w:numPr>
        <w:ind w:left="0" w:leftChars="0" w:firstLine="640"/>
        <w:rPr>
          <w:rFonts w:ascii="Times New Roman" w:hAnsi="Times New Roman"/>
          <w:b w:val="0"/>
        </w:rPr>
      </w:pPr>
      <w:r>
        <w:rPr>
          <w:rFonts w:hint="eastAsia" w:ascii="Times New Roman" w:hAnsi="Times New Roman"/>
          <w:lang w:eastAsia="zh-CN"/>
        </w:rPr>
        <w:t>3.</w:t>
      </w:r>
      <w:r>
        <w:rPr>
          <w:rFonts w:hint="eastAsia" w:ascii="Times New Roman" w:hAnsi="Times New Roman" w:eastAsia="方正仿宋_GBK" w:cs="方正仿宋_GBK"/>
          <w:sz w:val="32"/>
          <w:szCs w:val="32"/>
          <w:lang w:eastAsia="zh-CN"/>
        </w:rPr>
        <w:t xml:space="preserve"> </w:t>
      </w:r>
      <w:r>
        <w:rPr>
          <w:rFonts w:ascii="Times New Roman" w:hAnsi="Times New Roman"/>
        </w:rPr>
        <w:t>习近平总书记关于教育的重要论述在开放大学落地实践研究</w:t>
      </w:r>
    </w:p>
    <w:p w14:paraId="459ECF3D">
      <w:pPr>
        <w:pStyle w:val="11"/>
        <w:rPr>
          <w:rFonts w:ascii="Times New Roman" w:hAnsi="Times New Roman" w:eastAsia="方正仿宋_GB2312" w:cs="方正仿宋_GB2312"/>
          <w:sz w:val="32"/>
          <w:szCs w:val="32"/>
        </w:rPr>
      </w:pPr>
      <w:r>
        <w:rPr>
          <w:rFonts w:ascii="Times New Roman" w:hAnsi="Times New Roman" w:eastAsia="方正仿宋_GB2312" w:cs="方正仿宋_GB2312"/>
          <w:sz w:val="32"/>
          <w:szCs w:val="32"/>
        </w:rPr>
        <w:t>【研究方向】以习近平总书记关于教育的重要论述为根本遵循，结合开放大学服务终身学习、建设学习型社会的核心使命，梳理开放教育办学定位、人才培养、教学改革、社会服务中的实践要点，提炼落地实施的典型模式与经验，破解实</w:t>
      </w:r>
      <w:r>
        <w:rPr>
          <w:rFonts w:ascii="Times New Roman" w:hAnsi="Times New Roman" w:eastAsia="方正仿宋_GB2312" w:cs="方正仿宋_GB2312"/>
          <w:spacing wpsCustomData:val="-6" w:val="0"/>
          <w:sz w:val="32"/>
          <w:szCs w:val="32"/>
        </w:rPr>
        <w:t>践中的难点问题</w:t>
      </w:r>
      <w:r>
        <w:rPr>
          <w:rFonts w:ascii="Times New Roman" w:hAnsi="Times New Roman" w:eastAsia="方正仿宋_GB2312" w:cs="方正仿宋_GB2312"/>
          <w:spacing wpsCustomData:val="-6" w:val="1"/>
          <w:sz w:val="32"/>
          <w:szCs w:val="32"/>
        </w:rPr>
        <w:t>，</w:t>
      </w:r>
      <w:r>
        <w:rPr>
          <w:rFonts w:ascii="Times New Roman" w:hAnsi="Times New Roman" w:eastAsia="方正仿宋_GB2312" w:cs="方正仿宋_GB2312"/>
          <w:spacing wpsCustomData:val="-6" w:val="0"/>
          <w:sz w:val="32"/>
          <w:szCs w:val="32"/>
        </w:rPr>
        <w:t>推动</w:t>
      </w:r>
      <w:r>
        <w:rPr>
          <w:rFonts w:hint="eastAsia" w:ascii="Times New Roman" w:hAnsi="Times New Roman" w:cs="方正仿宋_GB2312"/>
          <w:spacing wpsCustomData:val="-6" w:val="0"/>
          <w:sz w:val="32"/>
          <w:szCs w:val="32"/>
          <w:lang w:eastAsia="zh-CN"/>
        </w:rPr>
        <w:t>开放大学高质量发展</w:t>
      </w:r>
      <w:r>
        <w:rPr>
          <w:rFonts w:ascii="Times New Roman" w:hAnsi="Times New Roman" w:eastAsia="方正仿宋_GB2312" w:cs="方正仿宋_GB2312"/>
          <w:sz w:val="32"/>
          <w:szCs w:val="32"/>
        </w:rPr>
        <w:t>。</w:t>
      </w:r>
    </w:p>
    <w:p w14:paraId="7B6377D1">
      <w:pPr>
        <w:pStyle w:val="4"/>
        <w:numPr>
          <w:ilvl w:val="0"/>
          <w:numId w:val="0"/>
        </w:numPr>
        <w:ind w:left="0" w:leftChars="0" w:firstLine="640"/>
        <w:rPr>
          <w:rFonts w:ascii="Times New Roman" w:hAnsi="Times New Roman"/>
          <w:b w:val="0"/>
        </w:rPr>
      </w:pPr>
      <w:r>
        <w:rPr>
          <w:rFonts w:hint="eastAsia" w:ascii="Times New Roman" w:hAnsi="Times New Roman"/>
          <w:lang w:eastAsia="zh-CN"/>
        </w:rPr>
        <w:t>4.</w:t>
      </w:r>
      <w:r>
        <w:rPr>
          <w:rFonts w:hint="eastAsia" w:ascii="Times New Roman" w:hAnsi="Times New Roman" w:eastAsia="方正仿宋_GBK" w:cs="方正仿宋_GBK"/>
          <w:sz w:val="32"/>
          <w:szCs w:val="32"/>
          <w:lang w:eastAsia="zh-CN"/>
        </w:rPr>
        <w:t xml:space="preserve"> </w:t>
      </w:r>
      <w:r>
        <w:rPr>
          <w:rFonts w:ascii="Times New Roman" w:hAnsi="Times New Roman"/>
        </w:rPr>
        <w:t>习近平文化思想引领下开放大学文化建设与社区教育融合发展研究</w:t>
      </w:r>
    </w:p>
    <w:p w14:paraId="31EF3FC5">
      <w:pPr>
        <w:pStyle w:val="11"/>
        <w:rPr>
          <w:rFonts w:ascii="Times New Roman" w:hAnsi="Times New Roman" w:eastAsia="方正仿宋_GB2312" w:cs="方正仿宋_GB2312"/>
          <w:sz w:val="32"/>
          <w:szCs w:val="32"/>
        </w:rPr>
      </w:pPr>
      <w:r>
        <w:rPr>
          <w:rFonts w:ascii="Times New Roman" w:hAnsi="Times New Roman" w:eastAsia="方正仿宋_GB2312" w:cs="方正仿宋_GB2312"/>
          <w:sz w:val="32"/>
          <w:szCs w:val="32"/>
        </w:rPr>
        <w:t>【研究方向】</w:t>
      </w:r>
      <w:r>
        <w:rPr>
          <w:rFonts w:hint="eastAsia" w:ascii="Times New Roman" w:hAnsi="Times New Roman" w:cs="方正仿宋_GB2312"/>
          <w:sz w:val="32"/>
          <w:szCs w:val="32"/>
          <w:lang w:eastAsia="zh-CN"/>
        </w:rPr>
        <w:t>以习近平文化思想为指引，研究</w:t>
      </w:r>
      <w:r>
        <w:rPr>
          <w:rFonts w:ascii="Times New Roman" w:hAnsi="Times New Roman" w:eastAsia="方正仿宋_GB2312" w:cs="方正仿宋_GB2312"/>
          <w:sz w:val="32"/>
          <w:szCs w:val="32"/>
        </w:rPr>
        <w:t>挖掘开放大学文化建设与社区教育的契合点，探索校园文化</w:t>
      </w:r>
      <w:r>
        <w:rPr>
          <w:rFonts w:hint="eastAsia" w:ascii="Times New Roman" w:hAnsi="Times New Roman" w:cs="方正仿宋_GB2312"/>
          <w:sz w:val="32"/>
          <w:szCs w:val="32"/>
          <w:lang w:eastAsia="zh-CN"/>
        </w:rPr>
        <w:t>与</w:t>
      </w:r>
      <w:r>
        <w:rPr>
          <w:rFonts w:ascii="Times New Roman" w:hAnsi="Times New Roman" w:eastAsia="方正仿宋_GB2312" w:cs="方正仿宋_GB2312"/>
          <w:sz w:val="32"/>
          <w:szCs w:val="32"/>
        </w:rPr>
        <w:t>社区文化协同建设路径，打造兼具开放教育特色与地方文化底蕴的融合育人场景，推动文化传承、素养提升、社区治理有机结合，助力基层文化建设与全民终身学习。</w:t>
      </w:r>
    </w:p>
    <w:p w14:paraId="66343F63">
      <w:pPr>
        <w:pStyle w:val="4"/>
        <w:numPr>
          <w:ilvl w:val="0"/>
          <w:numId w:val="0"/>
        </w:numPr>
        <w:ind w:left="0" w:leftChars="0" w:firstLine="640"/>
        <w:rPr>
          <w:rFonts w:ascii="Times New Roman" w:hAnsi="Times New Roman"/>
          <w:b w:val="0"/>
        </w:rPr>
      </w:pPr>
      <w:r>
        <w:rPr>
          <w:rFonts w:hint="eastAsia" w:ascii="Times New Roman" w:hAnsi="Times New Roman"/>
          <w:lang w:eastAsia="zh-CN"/>
        </w:rPr>
        <w:t>5.</w:t>
      </w:r>
      <w:r>
        <w:rPr>
          <w:rFonts w:hint="eastAsia" w:ascii="Times New Roman" w:hAnsi="Times New Roman" w:eastAsia="方正仿宋_GBK" w:cs="方正仿宋_GBK"/>
          <w:sz w:val="32"/>
          <w:szCs w:val="32"/>
          <w:lang w:eastAsia="zh-CN"/>
        </w:rPr>
        <w:t xml:space="preserve"> </w:t>
      </w:r>
      <w:r>
        <w:rPr>
          <w:rFonts w:ascii="Times New Roman" w:hAnsi="Times New Roman"/>
        </w:rPr>
        <w:t>习近平总书记关于高校思想政治工作重要论述的开放大学实践研究</w:t>
      </w:r>
    </w:p>
    <w:p w14:paraId="0204D71A">
      <w:pPr>
        <w:pStyle w:val="11"/>
        <w:rPr>
          <w:rFonts w:ascii="Times New Roman" w:hAnsi="Times New Roman" w:eastAsia="方正仿宋_GB2312" w:cs="方正仿宋_GB2312"/>
          <w:sz w:val="32"/>
          <w:szCs w:val="32"/>
        </w:rPr>
      </w:pPr>
      <w:r>
        <w:rPr>
          <w:rFonts w:ascii="Times New Roman" w:hAnsi="Times New Roman" w:eastAsia="方正仿宋_GB2312" w:cs="方正仿宋_GB2312"/>
          <w:sz w:val="32"/>
          <w:szCs w:val="32"/>
        </w:rPr>
        <w:t>【研究方向】</w:t>
      </w:r>
      <w:r>
        <w:rPr>
          <w:rFonts w:hint="eastAsia" w:ascii="Times New Roman" w:hAnsi="Times New Roman" w:cs="方正仿宋_GB2312"/>
          <w:sz w:val="32"/>
          <w:szCs w:val="32"/>
          <w:lang w:eastAsia="zh-CN"/>
        </w:rPr>
        <w:t>深入贯彻</w:t>
      </w:r>
      <w:r>
        <w:rPr>
          <w:rFonts w:ascii="Times New Roman" w:hAnsi="Times New Roman" w:eastAsia="方正仿宋_GB2312" w:cs="方正仿宋_GB2312"/>
          <w:sz w:val="32"/>
          <w:szCs w:val="32"/>
        </w:rPr>
        <w:t>习近平总书记关于高校思想政治工作的重要论述，紧扣开放大学在职成人学习、线上线下混合、生源多元分散的特点，</w:t>
      </w:r>
      <w:r>
        <w:rPr>
          <w:rFonts w:hint="eastAsia" w:ascii="Times New Roman" w:hAnsi="Times New Roman" w:cs="方正仿宋_GB2312"/>
          <w:sz w:val="32"/>
          <w:szCs w:val="32"/>
          <w:lang w:eastAsia="zh-CN"/>
        </w:rPr>
        <w:t>研究</w:t>
      </w:r>
      <w:r>
        <w:rPr>
          <w:rFonts w:ascii="Times New Roman" w:hAnsi="Times New Roman" w:eastAsia="方正仿宋_GB2312" w:cs="方正仿宋_GB2312"/>
          <w:sz w:val="32"/>
          <w:szCs w:val="32"/>
        </w:rPr>
        <w:t>优化思政课教学模式</w:t>
      </w:r>
      <w:r>
        <w:rPr>
          <w:rFonts w:hint="eastAsia" w:ascii="Times New Roman" w:hAnsi="Times New Roman" w:cs="方正仿宋_GB2312"/>
          <w:sz w:val="32"/>
          <w:szCs w:val="32"/>
          <w:lang w:eastAsia="zh-CN"/>
        </w:rPr>
        <w:t>，</w:t>
      </w:r>
      <w:r>
        <w:rPr>
          <w:rFonts w:ascii="Times New Roman" w:hAnsi="Times New Roman" w:eastAsia="方正仿宋_GB2312" w:cs="方正仿宋_GB2312"/>
          <w:sz w:val="32"/>
          <w:szCs w:val="32"/>
        </w:rPr>
        <w:t>创新育人载体</w:t>
      </w:r>
      <w:r>
        <w:rPr>
          <w:rFonts w:hint="eastAsia" w:ascii="Times New Roman" w:hAnsi="Times New Roman" w:cs="方正仿宋_GB2312"/>
          <w:sz w:val="32"/>
          <w:szCs w:val="32"/>
          <w:lang w:eastAsia="zh-CN"/>
        </w:rPr>
        <w:t>，</w:t>
      </w:r>
      <w:r>
        <w:rPr>
          <w:rFonts w:ascii="Times New Roman" w:hAnsi="Times New Roman" w:eastAsia="方正仿宋_GB2312" w:cs="方正仿宋_GB2312"/>
          <w:sz w:val="32"/>
          <w:szCs w:val="32"/>
        </w:rPr>
        <w:t>完善师资队伍建设机制，形成适配成人学习者的思政工作实践方案，提升开放大学思政工作</w:t>
      </w:r>
      <w:r>
        <w:rPr>
          <w:rFonts w:hint="eastAsia" w:ascii="Times New Roman" w:hAnsi="Times New Roman" w:cs="方正仿宋_GB2312"/>
          <w:sz w:val="32"/>
          <w:szCs w:val="32"/>
          <w:lang w:eastAsia="zh-CN"/>
        </w:rPr>
        <w:t>的针对性</w:t>
      </w:r>
      <w:r>
        <w:rPr>
          <w:rFonts w:ascii="Times New Roman" w:hAnsi="Times New Roman" w:eastAsia="方正仿宋_GB2312" w:cs="方正仿宋_GB2312"/>
          <w:sz w:val="32"/>
          <w:szCs w:val="32"/>
        </w:rPr>
        <w:t>与实效性。</w:t>
      </w:r>
    </w:p>
    <w:p w14:paraId="1B419367">
      <w:pPr>
        <w:pStyle w:val="4"/>
        <w:numPr>
          <w:ilvl w:val="0"/>
          <w:numId w:val="0"/>
        </w:numPr>
        <w:ind w:left="0" w:leftChars="0" w:firstLine="640"/>
        <w:rPr>
          <w:rFonts w:ascii="Times New Roman" w:hAnsi="Times New Roman"/>
          <w:b w:val="0"/>
        </w:rPr>
      </w:pPr>
      <w:r>
        <w:rPr>
          <w:rFonts w:hint="eastAsia" w:ascii="Times New Roman" w:hAnsi="Times New Roman"/>
          <w:lang w:eastAsia="zh-CN"/>
        </w:rPr>
        <w:t>6.</w:t>
      </w:r>
      <w:r>
        <w:rPr>
          <w:rFonts w:hint="eastAsia" w:ascii="Times New Roman" w:hAnsi="Times New Roman" w:eastAsia="方正仿宋_GBK" w:cs="方正仿宋_GBK"/>
          <w:sz w:val="32"/>
          <w:szCs w:val="32"/>
          <w:lang w:eastAsia="zh-CN"/>
        </w:rPr>
        <w:t xml:space="preserve"> </w:t>
      </w:r>
      <w:r>
        <w:rPr>
          <w:rFonts w:hint="eastAsia" w:eastAsia="方正仿宋_GBK"/>
          <w:lang w:eastAsia="zh-CN"/>
        </w:rPr>
        <w:t>“</w:t>
      </w:r>
      <w:r>
        <w:rPr>
          <w:rFonts w:ascii="Times New Roman" w:hAnsi="Times New Roman"/>
        </w:rPr>
        <w:t>两个结合</w:t>
      </w:r>
      <w:r>
        <w:rPr>
          <w:rFonts w:hint="eastAsia"/>
          <w:lang w:eastAsia="zh-CN"/>
        </w:rPr>
        <w:t>”</w:t>
      </w:r>
      <w:r>
        <w:rPr>
          <w:rFonts w:ascii="Times New Roman" w:hAnsi="Times New Roman"/>
        </w:rPr>
        <w:t>视域下开放大学铸魂育人模式创新研究</w:t>
      </w:r>
    </w:p>
    <w:p w14:paraId="4B58C247">
      <w:pPr>
        <w:pStyle w:val="11"/>
        <w:rPr>
          <w:rFonts w:ascii="Times New Roman" w:hAnsi="Times New Roman" w:eastAsia="方正仿宋_GB2312" w:cs="方正仿宋_GB2312"/>
          <w:sz w:val="32"/>
          <w:szCs w:val="32"/>
        </w:rPr>
      </w:pPr>
      <w:r>
        <w:rPr>
          <w:rFonts w:ascii="Times New Roman" w:hAnsi="Times New Roman" w:eastAsia="方正仿宋_GB2312" w:cs="方正仿宋_GB2312"/>
          <w:sz w:val="32"/>
          <w:szCs w:val="32"/>
        </w:rPr>
        <w:t>【研究方向】基于</w:t>
      </w:r>
      <w:r>
        <w:rPr>
          <w:rFonts w:hint="eastAsia" w:cs="方正仿宋_GB2312"/>
          <w:sz w:val="32"/>
          <w:szCs w:val="32"/>
          <w:lang w:eastAsia="zh-CN"/>
        </w:rPr>
        <w:t>“</w:t>
      </w:r>
      <w:r>
        <w:rPr>
          <w:rFonts w:ascii="Times New Roman" w:hAnsi="Times New Roman" w:eastAsia="方正仿宋_GB2312" w:cs="方正仿宋_GB2312"/>
          <w:sz w:val="32"/>
          <w:szCs w:val="32"/>
        </w:rPr>
        <w:t>两个结合</w:t>
      </w:r>
      <w:r>
        <w:rPr>
          <w:rFonts w:hint="eastAsia" w:cs="方正仿宋_GB2312"/>
          <w:sz w:val="32"/>
          <w:szCs w:val="32"/>
          <w:lang w:eastAsia="zh-CN"/>
        </w:rPr>
        <w:t>”</w:t>
      </w:r>
      <w:r>
        <w:rPr>
          <w:rFonts w:ascii="Times New Roman" w:hAnsi="Times New Roman" w:eastAsia="方正仿宋_GB2312" w:cs="方正仿宋_GB2312"/>
          <w:sz w:val="32"/>
          <w:szCs w:val="32"/>
        </w:rPr>
        <w:t>核心内涵，研究开放大学铸魂育人的时代要求与实践路径，融合中华优秀传统文化、革命文化与社会主义先进文化，结合开放教育数字化、社会化优势，创新课程体系、教学方法与实践平台，构建贴合成人学习者的铸魂育人新模式，培育担当时代使命的应用型人才。</w:t>
      </w:r>
    </w:p>
    <w:p w14:paraId="34B167A8">
      <w:pPr>
        <w:pStyle w:val="4"/>
        <w:numPr>
          <w:ilvl w:val="0"/>
          <w:numId w:val="0"/>
        </w:numPr>
        <w:ind w:left="0" w:leftChars="0" w:firstLine="640"/>
        <w:rPr>
          <w:rFonts w:ascii="Times New Roman" w:hAnsi="Times New Roman"/>
          <w:b w:val="0"/>
        </w:rPr>
      </w:pPr>
      <w:r>
        <w:rPr>
          <w:rFonts w:hint="eastAsia" w:ascii="Times New Roman" w:hAnsi="Times New Roman"/>
          <w:lang w:eastAsia="zh-CN"/>
        </w:rPr>
        <w:t>7.</w:t>
      </w:r>
      <w:r>
        <w:rPr>
          <w:rFonts w:hint="eastAsia" w:ascii="Times New Roman" w:hAnsi="Times New Roman" w:eastAsia="方正仿宋_GBK" w:cs="方正仿宋_GBK"/>
          <w:sz w:val="32"/>
          <w:szCs w:val="32"/>
          <w:lang w:eastAsia="zh-CN"/>
        </w:rPr>
        <w:t xml:space="preserve"> </w:t>
      </w:r>
      <w:r>
        <w:rPr>
          <w:rFonts w:ascii="Times New Roman" w:hAnsi="Times New Roman"/>
        </w:rPr>
        <w:t>中国式现代化进程中终身教育体系构建研究</w:t>
      </w:r>
    </w:p>
    <w:p w14:paraId="1EB461ED">
      <w:pPr>
        <w:pStyle w:val="11"/>
        <w:rPr>
          <w:rFonts w:ascii="Times New Roman" w:hAnsi="Times New Roman" w:eastAsia="方正仿宋_GB2312" w:cs="方正仿宋_GB2312"/>
          <w:sz w:val="32"/>
          <w:szCs w:val="32"/>
        </w:rPr>
      </w:pPr>
      <w:r>
        <w:rPr>
          <w:rFonts w:ascii="Times New Roman" w:hAnsi="Times New Roman" w:eastAsia="方正仿宋_GB2312" w:cs="方正仿宋_GB2312"/>
          <w:sz w:val="32"/>
          <w:szCs w:val="32"/>
        </w:rPr>
        <w:t>【研究方向】立足中国式现代化对教育发展的新要求，结合安徽区域发展需求，探索开放大学在终身教育体系中的核心定位与功能，研究学历教育、非学历教育、社区教育、老年教育</w:t>
      </w:r>
      <w:r>
        <w:rPr>
          <w:rFonts w:hint="eastAsia" w:ascii="Times New Roman" w:hAnsi="Times New Roman" w:cs="方正仿宋_GB2312"/>
          <w:sz w:val="32"/>
          <w:szCs w:val="32"/>
          <w:lang w:eastAsia="zh-CN"/>
        </w:rPr>
        <w:t>的协同</w:t>
      </w:r>
      <w:r>
        <w:rPr>
          <w:rFonts w:ascii="Times New Roman" w:hAnsi="Times New Roman" w:eastAsia="方正仿宋_GB2312" w:cs="方正仿宋_GB2312"/>
          <w:sz w:val="32"/>
          <w:szCs w:val="32"/>
        </w:rPr>
        <w:t>发展机制，完善终身学习资源供给、平台支撑、制度保障体系，为安徽终身教育高质量发展提供理论与实践参考。</w:t>
      </w:r>
    </w:p>
    <w:p w14:paraId="6DD39D0C">
      <w:pPr>
        <w:pStyle w:val="4"/>
        <w:rPr>
          <w:rFonts w:ascii="Times New Roman" w:hAnsi="Times New Roman"/>
        </w:rPr>
      </w:pPr>
      <w:r>
        <w:rPr>
          <w:rFonts w:ascii="Times New Roman" w:hAnsi="Times New Roman"/>
        </w:rPr>
        <w:t>8. 习近平党建思想引领下开放大学基层党组织建设研究</w:t>
      </w:r>
    </w:p>
    <w:p w14:paraId="1C57D067">
      <w:pPr>
        <w:pStyle w:val="11"/>
        <w:rPr>
          <w:rFonts w:hint="eastAsia" w:ascii="Times New Roman" w:hAnsi="Times New Roman" w:eastAsia="方正仿宋_GB2312" w:cs="方正仿宋_GB2312"/>
          <w:sz w:val="32"/>
          <w:szCs w:val="32"/>
          <w:lang w:val="en-US" w:eastAsia="zh-CN"/>
        </w:rPr>
      </w:pPr>
      <w:bookmarkStart w:id="2" w:name="heading_3"/>
      <w:r>
        <w:rPr>
          <w:rFonts w:hint="eastAsia" w:ascii="Times New Roman" w:hAnsi="Times New Roman" w:eastAsia="方正仿宋_GB2312" w:cs="方正仿宋_GB2312"/>
          <w:sz w:val="32"/>
          <w:szCs w:val="32"/>
        </w:rPr>
        <w:t>【研究方向】</w:t>
      </w:r>
      <w:r>
        <w:rPr>
          <w:rFonts w:hint="eastAsia" w:ascii="Times New Roman" w:hAnsi="Times New Roman" w:eastAsia="方正仿宋_GB2312" w:cs="方正仿宋_GB2312"/>
          <w:sz w:val="32"/>
          <w:szCs w:val="32"/>
          <w:lang w:val="en-US" w:eastAsia="zh-CN"/>
        </w:rPr>
        <w:t>紧扣习近平党建思想核心要义，结合开放大学</w:t>
      </w:r>
      <w:r>
        <w:rPr>
          <w:rFonts w:hint="eastAsia" w:ascii="Times New Roman" w:hAnsi="Times New Roman" w:cs="方正仿宋_GB2312"/>
          <w:sz w:val="32"/>
          <w:szCs w:val="32"/>
          <w:lang w:val="en-US" w:eastAsia="zh-CN"/>
        </w:rPr>
        <w:t>体系</w:t>
      </w:r>
      <w:r>
        <w:rPr>
          <w:rFonts w:hint="eastAsia" w:ascii="Times New Roman" w:hAnsi="Times New Roman" w:eastAsia="方正仿宋_GB2312" w:cs="方正仿宋_GB2312"/>
          <w:sz w:val="32"/>
          <w:szCs w:val="32"/>
          <w:lang w:val="en-US" w:eastAsia="zh-CN"/>
        </w:rPr>
        <w:t>办学的组织优势，探索党建工作与教育教学、社会服务深度融合的机制。重点研究基层党组织在思政引领、师德师风建设、</w:t>
      </w:r>
      <w:r>
        <w:rPr>
          <w:rFonts w:hint="eastAsia" w:ascii="Times New Roman" w:hAnsi="Times New Roman" w:cs="方正仿宋_GB2312"/>
          <w:sz w:val="32"/>
          <w:szCs w:val="32"/>
          <w:lang w:val="en-US" w:eastAsia="zh-CN"/>
        </w:rPr>
        <w:t>终身</w:t>
      </w:r>
      <w:r>
        <w:rPr>
          <w:rFonts w:hint="eastAsia" w:ascii="Times New Roman" w:hAnsi="Times New Roman" w:eastAsia="方正仿宋_GB2312" w:cs="方正仿宋_GB2312"/>
          <w:sz w:val="32"/>
          <w:szCs w:val="32"/>
          <w:lang w:val="en-US" w:eastAsia="zh-CN"/>
        </w:rPr>
        <w:t>教育服务中的战斗堡垒作用，创新</w:t>
      </w:r>
      <w:r>
        <w:rPr>
          <w:rFonts w:hint="eastAsia" w:cs="方正仿宋_GB2312"/>
          <w:sz w:val="32"/>
          <w:szCs w:val="32"/>
          <w:lang w:val="en-US" w:eastAsia="zh-CN"/>
        </w:rPr>
        <w:t>“</w:t>
      </w:r>
      <w:r>
        <w:rPr>
          <w:rFonts w:hint="eastAsia" w:ascii="Times New Roman" w:hAnsi="Times New Roman" w:eastAsia="方正仿宋_GB2312" w:cs="方正仿宋_GB2312"/>
          <w:sz w:val="32"/>
          <w:szCs w:val="32"/>
          <w:lang w:val="en-US" w:eastAsia="zh-CN"/>
        </w:rPr>
        <w:t>党建+业务</w:t>
      </w:r>
      <w:r>
        <w:rPr>
          <w:rFonts w:hint="eastAsia" w:cs="方正仿宋_GB2312"/>
          <w:sz w:val="32"/>
          <w:szCs w:val="32"/>
          <w:lang w:val="en-US" w:eastAsia="zh-CN"/>
        </w:rPr>
        <w:t>”</w:t>
      </w:r>
      <w:r>
        <w:rPr>
          <w:rFonts w:hint="eastAsia" w:ascii="Times New Roman" w:hAnsi="Times New Roman" w:eastAsia="方正仿宋_GB2312" w:cs="方正仿宋_GB2312"/>
          <w:sz w:val="32"/>
          <w:szCs w:val="32"/>
          <w:lang w:val="en-US" w:eastAsia="zh-CN"/>
        </w:rPr>
        <w:t>双融双促模式，完善党员教育管理评价体系，提升基层党组织的组织力与凝聚力。</w:t>
      </w:r>
    </w:p>
    <w:p w14:paraId="6427CF49">
      <w:pPr>
        <w:pStyle w:val="3"/>
        <w:numPr>
          <w:ilvl w:val="0"/>
          <w:numId w:val="0"/>
        </w:numPr>
        <w:topLinePunct w:val="0"/>
        <w:ind w:left="0" w:leftChars="0" w:firstLine="640"/>
        <w:rPr>
          <w:rFonts w:hint="eastAsia" w:ascii="Times New Roman" w:hAnsi="Times New Roman" w:eastAsia="方正楷体_GB2312" w:cs="方正楷体_GB2312"/>
          <w:b w:val="0"/>
        </w:rPr>
      </w:pPr>
      <w:r>
        <w:rPr>
          <w:rFonts w:hint="eastAsia" w:ascii="Times New Roman" w:hAnsi="Times New Roman"/>
          <w:lang w:eastAsia="zh-CN"/>
        </w:rPr>
        <w:t>（二）</w:t>
      </w:r>
      <w:r>
        <w:rPr>
          <w:rFonts w:ascii="Times New Roman" w:hAnsi="Times New Roman"/>
        </w:rPr>
        <w:t>开放大学综合改革与高质量发展研究</w:t>
      </w:r>
      <w:bookmarkEnd w:id="2"/>
    </w:p>
    <w:p w14:paraId="220C87F0">
      <w:pPr>
        <w:pStyle w:val="4"/>
        <w:numPr>
          <w:ilvl w:val="0"/>
          <w:numId w:val="0"/>
        </w:numPr>
        <w:bidi w:val="0"/>
        <w:ind w:left="0" w:leftChars="0" w:firstLine="640"/>
        <w:rPr>
          <w:rFonts w:ascii="Times New Roman" w:hAnsi="Times New Roman" w:eastAsia="方正仿宋_GB2312" w:cs="方正仿宋_GB2312"/>
          <w:b w:val="0"/>
          <w:szCs w:val="32"/>
          <w:shd w:val="clear" w:color="auto" w:fill="auto"/>
        </w:rPr>
      </w:pPr>
      <w:r>
        <w:rPr>
          <w:rFonts w:hint="eastAsia" w:ascii="Times New Roman" w:hAnsi="Times New Roman"/>
          <w:shd w:val="clear" w:color="auto" w:fill="auto"/>
          <w:lang w:eastAsia="zh-CN"/>
        </w:rPr>
        <w:t>1.</w:t>
      </w:r>
      <w:r>
        <w:rPr>
          <w:rFonts w:hint="eastAsia" w:ascii="Times New Roman" w:hAnsi="Times New Roman" w:eastAsia="方正仿宋_GBK" w:cs="方正仿宋_GBK"/>
          <w:sz w:val="32"/>
          <w:szCs w:val="32"/>
          <w:shd w:val="clear" w:color="auto" w:fill="auto"/>
          <w:lang w:eastAsia="zh-CN"/>
        </w:rPr>
        <w:t xml:space="preserve"> </w:t>
      </w:r>
      <w:r>
        <w:rPr>
          <w:rFonts w:ascii="Times New Roman" w:hAnsi="Times New Roman"/>
          <w:shd w:val="clear" w:color="auto" w:fill="auto"/>
        </w:rPr>
        <w:t xml:space="preserve">安徽开放大学 </w:t>
      </w:r>
      <w:r>
        <w:rPr>
          <w:rFonts w:hint="eastAsia"/>
          <w:shd w:val="clear" w:color="auto" w:fill="auto"/>
          <w:lang w:eastAsia="zh-CN"/>
        </w:rPr>
        <w:t>“</w:t>
      </w:r>
      <w:r>
        <w:rPr>
          <w:rFonts w:ascii="Times New Roman" w:hAnsi="Times New Roman"/>
          <w:shd w:val="clear" w:color="auto" w:fill="auto"/>
        </w:rPr>
        <w:t>1123</w:t>
      </w:r>
      <w:r>
        <w:rPr>
          <w:rFonts w:hint="eastAsia"/>
          <w:shd w:val="clear" w:color="auto" w:fill="auto"/>
          <w:lang w:eastAsia="zh-CN"/>
        </w:rPr>
        <w:t>”</w:t>
      </w:r>
      <w:r>
        <w:rPr>
          <w:rFonts w:ascii="Times New Roman" w:hAnsi="Times New Roman"/>
          <w:shd w:val="clear" w:color="auto" w:fill="auto"/>
        </w:rPr>
        <w:t>改革深化与实践创新研究</w:t>
      </w:r>
    </w:p>
    <w:p w14:paraId="09C2D315">
      <w:pPr>
        <w:pStyle w:val="11"/>
        <w:rPr>
          <w:rFonts w:ascii="Times New Roman" w:hAnsi="Times New Roman" w:eastAsia="方正仿宋_GB2312" w:cs="方正仿宋_GB2312"/>
          <w:sz w:val="32"/>
          <w:szCs w:val="32"/>
        </w:rPr>
      </w:pPr>
      <w:r>
        <w:rPr>
          <w:rFonts w:ascii="Times New Roman" w:hAnsi="Times New Roman" w:eastAsia="方正仿宋_GB2312" w:cs="方正仿宋_GB2312"/>
          <w:sz w:val="32"/>
          <w:szCs w:val="32"/>
        </w:rPr>
        <w:t>【研究方向】围绕学校</w:t>
      </w:r>
      <w:r>
        <w:rPr>
          <w:rFonts w:hint="eastAsia" w:cs="方正仿宋_GB2312"/>
          <w:sz w:val="32"/>
          <w:szCs w:val="32"/>
          <w:lang w:eastAsia="zh-CN"/>
        </w:rPr>
        <w:t>“</w:t>
      </w:r>
      <w:r>
        <w:rPr>
          <w:rFonts w:ascii="Times New Roman" w:hAnsi="Times New Roman" w:eastAsia="方正仿宋_GB2312" w:cs="方正仿宋_GB2312"/>
          <w:sz w:val="32"/>
          <w:szCs w:val="32"/>
        </w:rPr>
        <w:t>1123</w:t>
      </w:r>
      <w:r>
        <w:rPr>
          <w:rFonts w:hint="eastAsia" w:cs="方正仿宋_GB2312"/>
          <w:sz w:val="32"/>
          <w:szCs w:val="32"/>
          <w:lang w:eastAsia="zh-CN"/>
        </w:rPr>
        <w:t>”</w:t>
      </w:r>
      <w:r>
        <w:rPr>
          <w:rFonts w:ascii="Times New Roman" w:hAnsi="Times New Roman" w:eastAsia="方正仿宋_GB2312" w:cs="方正仿宋_GB2312"/>
          <w:sz w:val="32"/>
          <w:szCs w:val="32"/>
        </w:rPr>
        <w:t>发展战略，聚焦</w:t>
      </w:r>
      <w:r>
        <w:rPr>
          <w:rFonts w:hint="eastAsia" w:cs="方正仿宋_GB2312"/>
          <w:sz w:val="32"/>
          <w:szCs w:val="32"/>
          <w:lang w:eastAsia="zh-CN"/>
        </w:rPr>
        <w:t>“</w:t>
      </w:r>
      <w:r>
        <w:rPr>
          <w:rFonts w:ascii="Times New Roman" w:hAnsi="Times New Roman" w:eastAsia="方正仿宋_GB2312" w:cs="方正仿宋_GB2312"/>
          <w:sz w:val="32"/>
          <w:szCs w:val="32"/>
        </w:rPr>
        <w:t>一个目标、一条主线、两个转型、三大支撑</w:t>
      </w:r>
      <w:r>
        <w:rPr>
          <w:rFonts w:hint="eastAsia" w:cs="方正仿宋_GB2312"/>
          <w:sz w:val="32"/>
          <w:szCs w:val="32"/>
          <w:lang w:eastAsia="zh-CN"/>
        </w:rPr>
        <w:t>”</w:t>
      </w:r>
      <w:r>
        <w:rPr>
          <w:rFonts w:ascii="Times New Roman" w:hAnsi="Times New Roman" w:eastAsia="方正仿宋_GB2312" w:cs="方正仿宋_GB2312"/>
          <w:sz w:val="32"/>
          <w:szCs w:val="32"/>
        </w:rPr>
        <w:t>的核心框架，系统梳理其在办学体系重构、人才培养模式创新、技术赋能教学、质量保障体系建设等方面的实践成果与典型经验，深入分析当前面临的瓶颈与挑战，提出进一步深化改革、推动高质量发展的路径与对策</w:t>
      </w:r>
      <w:r>
        <w:rPr>
          <w:rFonts w:ascii="Times New Roman" w:hAnsi="Times New Roman" w:eastAsia="方正仿宋_GB2312" w:cs="方正仿宋_GB2312"/>
          <w:spacing wpsCustomData:val="-6" w:val="7"/>
          <w:sz w:val="32"/>
          <w:szCs w:val="32"/>
        </w:rPr>
        <w:t>，为学校</w:t>
      </w:r>
      <w:r>
        <w:rPr>
          <w:rFonts w:hint="eastAsia" w:cs="方正仿宋_GB2312"/>
          <w:spacing wpsCustomData:val="-6" w:val="7"/>
          <w:sz w:val="32"/>
          <w:szCs w:val="32"/>
          <w:lang w:eastAsia="zh-CN"/>
        </w:rPr>
        <w:t>“</w:t>
      </w:r>
      <w:r>
        <w:rPr>
          <w:rFonts w:ascii="Times New Roman" w:hAnsi="Times New Roman" w:eastAsia="方正仿宋_GB2312" w:cs="方正仿宋_GB2312"/>
          <w:spacing wpsCustomData:val="-6" w:val="7"/>
          <w:sz w:val="32"/>
          <w:szCs w:val="32"/>
        </w:rPr>
        <w:t>十四五</w:t>
      </w:r>
      <w:r>
        <w:rPr>
          <w:rFonts w:hint="eastAsia" w:cs="方正仿宋_GB2312"/>
          <w:spacing wpsCustomData:val="-6" w:val="7"/>
          <w:sz w:val="32"/>
          <w:szCs w:val="32"/>
          <w:lang w:eastAsia="zh-CN"/>
        </w:rPr>
        <w:t>”</w:t>
      </w:r>
      <w:r>
        <w:rPr>
          <w:rFonts w:ascii="Times New Roman" w:hAnsi="Times New Roman" w:eastAsia="方正仿宋_GB2312" w:cs="方正仿宋_GB2312"/>
          <w:spacing wpsCustomData:val="-6" w:val="7"/>
          <w:sz w:val="32"/>
          <w:szCs w:val="32"/>
        </w:rPr>
        <w:t>规划收官及</w:t>
      </w:r>
      <w:r>
        <w:rPr>
          <w:rFonts w:hint="eastAsia" w:cs="方正仿宋_GB2312"/>
          <w:spacing wpsCustomData:val="-6" w:val="7"/>
          <w:sz w:val="32"/>
          <w:szCs w:val="32"/>
          <w:lang w:eastAsia="zh-CN"/>
        </w:rPr>
        <w:t>“</w:t>
      </w:r>
      <w:r>
        <w:rPr>
          <w:rFonts w:ascii="Times New Roman" w:hAnsi="Times New Roman" w:eastAsia="方正仿宋_GB2312" w:cs="方正仿宋_GB2312"/>
          <w:spacing wpsCustomData:val="-6" w:val="7"/>
          <w:sz w:val="32"/>
          <w:szCs w:val="32"/>
        </w:rPr>
        <w:t>十五五</w:t>
      </w:r>
      <w:r>
        <w:rPr>
          <w:rFonts w:hint="eastAsia" w:cs="方正仿宋_GB2312"/>
          <w:spacing wpsCustomData:val="-6" w:val="7"/>
          <w:sz w:val="32"/>
          <w:szCs w:val="32"/>
          <w:lang w:eastAsia="zh-CN"/>
        </w:rPr>
        <w:t>”</w:t>
      </w:r>
      <w:r>
        <w:rPr>
          <w:rFonts w:ascii="Times New Roman" w:hAnsi="Times New Roman" w:eastAsia="方正仿宋_GB2312" w:cs="方正仿宋_GB2312"/>
          <w:spacing wpsCustomData:val="-6" w:val="7"/>
          <w:sz w:val="32"/>
          <w:szCs w:val="32"/>
        </w:rPr>
        <w:t>开局提供决</w:t>
      </w:r>
      <w:r>
        <w:rPr>
          <w:rFonts w:ascii="Times New Roman" w:hAnsi="Times New Roman" w:eastAsia="方正仿宋_GB2312" w:cs="方正仿宋_GB2312"/>
          <w:spacing wpsCustomData:val="-6" w:val="-6"/>
          <w:sz w:val="32"/>
          <w:szCs w:val="32"/>
        </w:rPr>
        <w:t>策</w:t>
      </w:r>
      <w:r>
        <w:rPr>
          <w:rFonts w:ascii="Times New Roman" w:hAnsi="Times New Roman" w:eastAsia="方正仿宋_GB2312" w:cs="方正仿宋_GB2312"/>
          <w:sz w:val="32"/>
          <w:szCs w:val="32"/>
        </w:rPr>
        <w:t>参考。</w:t>
      </w:r>
    </w:p>
    <w:p w14:paraId="232AF01B">
      <w:pPr>
        <w:pStyle w:val="4"/>
        <w:numPr>
          <w:ilvl w:val="0"/>
          <w:numId w:val="0"/>
        </w:numPr>
        <w:bidi w:val="0"/>
        <w:ind w:left="0" w:leftChars="0" w:firstLine="640"/>
        <w:rPr>
          <w:rFonts w:ascii="Times New Roman" w:hAnsi="Times New Roman" w:eastAsia="方正仿宋_GB2312" w:cs="方正仿宋_GB2312"/>
          <w:b w:val="0"/>
          <w:szCs w:val="32"/>
          <w:shd w:val="clear" w:color="auto" w:fill="auto"/>
        </w:rPr>
      </w:pPr>
      <w:r>
        <w:rPr>
          <w:rFonts w:hint="eastAsia" w:ascii="Times New Roman" w:hAnsi="Times New Roman"/>
          <w:shd w:val="clear" w:color="auto" w:fill="auto"/>
          <w:lang w:eastAsia="zh-CN"/>
        </w:rPr>
        <w:t>2.</w:t>
      </w:r>
      <w:r>
        <w:rPr>
          <w:rFonts w:hint="eastAsia" w:ascii="Times New Roman" w:hAnsi="Times New Roman" w:eastAsia="方正仿宋_GBK" w:cs="方正仿宋_GBK"/>
          <w:sz w:val="32"/>
          <w:szCs w:val="32"/>
          <w:shd w:val="clear" w:color="auto" w:fill="auto"/>
          <w:lang w:eastAsia="zh-CN"/>
        </w:rPr>
        <w:t xml:space="preserve"> </w:t>
      </w:r>
      <w:r>
        <w:rPr>
          <w:rFonts w:ascii="Times New Roman" w:hAnsi="Times New Roman"/>
          <w:shd w:val="clear" w:color="auto" w:fill="auto"/>
        </w:rPr>
        <w:t xml:space="preserve">开放大学办学体系一体化建设与治理效能提升研究  </w:t>
      </w:r>
    </w:p>
    <w:p w14:paraId="78D3E229">
      <w:pPr>
        <w:pStyle w:val="11"/>
        <w:rPr>
          <w:rFonts w:ascii="Times New Roman" w:hAnsi="Times New Roman" w:eastAsia="方正仿宋_GB2312" w:cs="方正仿宋_GB2312"/>
          <w:sz w:val="32"/>
          <w:szCs w:val="32"/>
        </w:rPr>
      </w:pPr>
      <w:r>
        <w:rPr>
          <w:rFonts w:ascii="Times New Roman" w:hAnsi="Times New Roman" w:eastAsia="方正仿宋_GB2312" w:cs="方正仿宋_GB2312"/>
          <w:sz w:val="32"/>
          <w:szCs w:val="32"/>
        </w:rPr>
        <w:t>【研究方向】围绕开放大学办学体系</w:t>
      </w:r>
      <w:r>
        <w:rPr>
          <w:rFonts w:hint="eastAsia" w:cs="方正仿宋_GB2312"/>
          <w:sz w:val="32"/>
          <w:szCs w:val="32"/>
          <w:lang w:eastAsia="zh-CN"/>
        </w:rPr>
        <w:t>“</w:t>
      </w:r>
      <w:r>
        <w:rPr>
          <w:rFonts w:ascii="Times New Roman" w:hAnsi="Times New Roman" w:eastAsia="方正仿宋_GB2312" w:cs="方正仿宋_GB2312"/>
          <w:sz w:val="32"/>
          <w:szCs w:val="32"/>
        </w:rPr>
        <w:t>纵向贯通、横向联动</w:t>
      </w:r>
      <w:r>
        <w:rPr>
          <w:rFonts w:hint="eastAsia" w:cs="方正仿宋_GB2312"/>
          <w:sz w:val="32"/>
          <w:szCs w:val="32"/>
          <w:lang w:eastAsia="zh-CN"/>
        </w:rPr>
        <w:t>”</w:t>
      </w:r>
      <w:r>
        <w:rPr>
          <w:rFonts w:ascii="Times New Roman" w:hAnsi="Times New Roman" w:eastAsia="方正仿宋_GB2312" w:cs="方正仿宋_GB2312"/>
          <w:sz w:val="32"/>
          <w:szCs w:val="32"/>
        </w:rPr>
        <w:t>的一体化建设目标，研究体系内各级办学单位在管理、教学、资源、服务、质量保障等方面的协同机制与运行模式，分析当前体系治理中存在的权责不清、资源分散、标准不一等突出问题，探索以制度创新、技术赋能、流程再造为核心的治理效能提升路径，构建权责清晰、运行高效、协同联动的开放大学一体化办学治</w:t>
      </w:r>
      <w:r>
        <w:rPr>
          <w:rFonts w:ascii="Times New Roman" w:hAnsi="Times New Roman" w:eastAsia="方正仿宋_GB2312" w:cs="方正仿宋_GB2312"/>
          <w:spacing wpsCustomData:val="-6" w:val="0"/>
          <w:sz w:val="32"/>
          <w:szCs w:val="32"/>
        </w:rPr>
        <w:t>理新格局</w:t>
      </w:r>
      <w:r>
        <w:rPr>
          <w:rFonts w:ascii="Times New Roman" w:hAnsi="Times New Roman" w:eastAsia="方正仿宋_GB2312" w:cs="方正仿宋_GB2312"/>
          <w:spacing wpsCustomData:val="-6" w:val="1"/>
          <w:sz w:val="32"/>
          <w:szCs w:val="32"/>
        </w:rPr>
        <w:t>，</w:t>
      </w:r>
      <w:r>
        <w:rPr>
          <w:rFonts w:ascii="Times New Roman" w:hAnsi="Times New Roman" w:eastAsia="方正仿宋_GB2312" w:cs="方正仿宋_GB2312"/>
          <w:spacing wpsCustomData:val="-6" w:val="0"/>
          <w:sz w:val="32"/>
          <w:szCs w:val="32"/>
        </w:rPr>
        <w:t>为服务全民终身学习和学习型社会建设提供坚</w:t>
      </w:r>
      <w:r>
        <w:rPr>
          <w:rFonts w:ascii="Times New Roman" w:hAnsi="Times New Roman" w:eastAsia="方正仿宋_GB2312" w:cs="方正仿宋_GB2312"/>
          <w:spacing wpsCustomData:val="-6" w:val="-6"/>
          <w:sz w:val="32"/>
          <w:szCs w:val="32"/>
        </w:rPr>
        <w:t>实</w:t>
      </w:r>
      <w:r>
        <w:rPr>
          <w:rFonts w:ascii="Times New Roman" w:hAnsi="Times New Roman" w:eastAsia="方正仿宋_GB2312" w:cs="方正仿宋_GB2312"/>
          <w:sz w:val="32"/>
          <w:szCs w:val="32"/>
        </w:rPr>
        <w:t>支撑。</w:t>
      </w:r>
    </w:p>
    <w:p w14:paraId="3C21B034">
      <w:pPr>
        <w:pStyle w:val="4"/>
        <w:numPr>
          <w:ilvl w:val="0"/>
          <w:numId w:val="0"/>
        </w:numPr>
        <w:bidi w:val="0"/>
        <w:ind w:left="0" w:leftChars="0" w:firstLine="640"/>
        <w:rPr>
          <w:rFonts w:ascii="Times New Roman" w:hAnsi="Times New Roman" w:eastAsia="方正仿宋_GB2312" w:cs="方正仿宋_GB2312"/>
          <w:b w:val="0"/>
          <w:szCs w:val="32"/>
        </w:rPr>
      </w:pPr>
      <w:r>
        <w:rPr>
          <w:rFonts w:hint="eastAsia" w:ascii="Times New Roman" w:hAnsi="Times New Roman"/>
          <w:lang w:eastAsia="zh-CN"/>
        </w:rPr>
        <w:t>3.</w:t>
      </w:r>
      <w:r>
        <w:rPr>
          <w:rFonts w:hint="eastAsia" w:ascii="Times New Roman" w:hAnsi="Times New Roman" w:eastAsia="方正仿宋_GBK" w:cs="方正仿宋_GBK"/>
          <w:sz w:val="32"/>
          <w:szCs w:val="32"/>
          <w:lang w:eastAsia="zh-CN"/>
        </w:rPr>
        <w:t xml:space="preserve"> </w:t>
      </w:r>
      <w:r>
        <w:rPr>
          <w:rFonts w:ascii="Times New Roman" w:hAnsi="Times New Roman"/>
        </w:rPr>
        <w:t>长三角开放大学联盟科研协同、资源共建与学分互认机制研究</w:t>
      </w:r>
    </w:p>
    <w:p w14:paraId="526315D7">
      <w:pPr>
        <w:pStyle w:val="11"/>
        <w:rPr>
          <w:rFonts w:ascii="Times New Roman" w:hAnsi="Times New Roman" w:eastAsia="方正仿宋_GB2312" w:cs="方正仿宋_GB2312"/>
          <w:sz w:val="32"/>
          <w:szCs w:val="32"/>
        </w:rPr>
      </w:pPr>
      <w:r>
        <w:rPr>
          <w:rFonts w:ascii="Times New Roman" w:hAnsi="Times New Roman" w:eastAsia="方正仿宋_GB2312" w:cs="方正仿宋_GB2312"/>
          <w:sz w:val="32"/>
          <w:szCs w:val="32"/>
        </w:rPr>
        <w:t>【研究方向】聚焦长三角一体化发展战略，研究区域开放大学联盟的科研合作模式、优质教育资源共建共享路径、学分认定与转换标准，搭建跨校协同平台，完善制度保障体系，打破区域办学壁垒，推动科研成果、教学资源、人才培养互联互通，助力长三角终身教育一体化发展。</w:t>
      </w:r>
    </w:p>
    <w:p w14:paraId="5321A97F">
      <w:pPr>
        <w:pStyle w:val="11"/>
        <w:numPr>
          <w:ilvl w:val="0"/>
          <w:numId w:val="0"/>
        </w:numPr>
        <w:ind w:left="0" w:leftChars="0" w:firstLine="640"/>
        <w:rPr>
          <w:rFonts w:ascii="Times New Roman" w:hAnsi="Times New Roman" w:eastAsia="方正仿宋_GB2312" w:cs="方正仿宋_GB2312"/>
          <w:b w:val="0"/>
          <w:sz w:val="32"/>
          <w:szCs w:val="32"/>
        </w:rPr>
      </w:pPr>
      <w:r>
        <w:rPr>
          <w:rStyle w:val="19"/>
          <w:rFonts w:hint="eastAsia" w:ascii="Times New Roman" w:hAnsi="Times New Roman"/>
          <w:lang w:eastAsia="zh-CN"/>
        </w:rPr>
        <w:t>4.</w:t>
      </w:r>
      <w:r>
        <w:rPr>
          <w:rFonts w:hint="eastAsia" w:ascii="Times New Roman" w:hAnsi="Times New Roman" w:eastAsia="方正仿宋_GBK" w:cs="方正仿宋_GBK"/>
          <w:spacing w:val="-6"/>
          <w:sz w:val="32"/>
          <w:szCs w:val="32"/>
          <w:lang w:eastAsia="zh-CN"/>
        </w:rPr>
        <w:t xml:space="preserve"> </w:t>
      </w:r>
      <w:r>
        <w:rPr>
          <w:rStyle w:val="19"/>
          <w:rFonts w:ascii="Times New Roman" w:hAnsi="Times New Roman"/>
        </w:rPr>
        <w:t>开放大学转型发展</w:t>
      </w:r>
      <w:r>
        <w:rPr>
          <w:rFonts w:ascii="Times New Roman" w:hAnsi="Times New Roman" w:eastAsia="方正仿宋_GB2312" w:cs="方正仿宋_GB2312"/>
          <w:sz w:val="32"/>
          <w:szCs w:val="32"/>
        </w:rPr>
        <w:t>：从学历补偿教育到终身教育核心载体研究</w:t>
      </w:r>
    </w:p>
    <w:p w14:paraId="4C614234">
      <w:pPr>
        <w:pStyle w:val="11"/>
        <w:rPr>
          <w:rFonts w:ascii="Times New Roman" w:hAnsi="Times New Roman" w:eastAsia="方正仿宋_GB2312" w:cs="方正仿宋_GB2312"/>
          <w:sz w:val="32"/>
          <w:szCs w:val="32"/>
        </w:rPr>
      </w:pPr>
      <w:r>
        <w:rPr>
          <w:rFonts w:ascii="Times New Roman" w:hAnsi="Times New Roman" w:eastAsia="方正仿宋_GB2312" w:cs="方正仿宋_GB2312"/>
          <w:sz w:val="32"/>
          <w:szCs w:val="32"/>
        </w:rPr>
        <w:t>【研究方向】梳理开放大学发展历程与时代使命，分析学历补偿教育向终身教育核心载体转型的现实需求与核心任务，探索转型中的办学定位、教学改革、服务模式、治理体系优化路径，推</w:t>
      </w:r>
      <w:r>
        <w:rPr>
          <w:rFonts w:ascii="Times New Roman" w:hAnsi="Times New Roman" w:eastAsia="方正仿宋_GB2312" w:cs="方正仿宋_GB2312"/>
          <w:spacing wpsCustomData:val="-6" w:val="0"/>
          <w:sz w:val="32"/>
          <w:szCs w:val="32"/>
        </w:rPr>
        <w:t>动开放大学成为全民终身学习的重要支撑，服务学习型社</w:t>
      </w:r>
      <w:r>
        <w:rPr>
          <w:rFonts w:ascii="Times New Roman" w:hAnsi="Times New Roman" w:eastAsia="方正仿宋_GB2312" w:cs="方正仿宋_GB2312"/>
          <w:spacing wpsCustomData:val="-6" w:val="-6"/>
          <w:sz w:val="32"/>
          <w:szCs w:val="32"/>
        </w:rPr>
        <w:t>会</w:t>
      </w:r>
      <w:r>
        <w:rPr>
          <w:rFonts w:ascii="Times New Roman" w:hAnsi="Times New Roman" w:eastAsia="方正仿宋_GB2312" w:cs="方正仿宋_GB2312"/>
          <w:sz w:val="32"/>
          <w:szCs w:val="32"/>
        </w:rPr>
        <w:t>建设。</w:t>
      </w:r>
    </w:p>
    <w:p w14:paraId="244B6DB4">
      <w:pPr>
        <w:pStyle w:val="4"/>
        <w:numPr>
          <w:ilvl w:val="0"/>
          <w:numId w:val="0"/>
        </w:numPr>
        <w:bidi w:val="0"/>
        <w:ind w:left="0" w:leftChars="0" w:firstLine="640"/>
        <w:rPr>
          <w:rFonts w:ascii="Times New Roman" w:hAnsi="Times New Roman" w:eastAsia="方正仿宋_GB2312" w:cs="方正仿宋_GB2312"/>
          <w:b w:val="0"/>
          <w:szCs w:val="32"/>
        </w:rPr>
      </w:pPr>
      <w:r>
        <w:rPr>
          <w:rFonts w:hint="eastAsia" w:ascii="Times New Roman" w:hAnsi="Times New Roman"/>
          <w:lang w:eastAsia="zh-CN"/>
        </w:rPr>
        <w:t>5.</w:t>
      </w:r>
      <w:r>
        <w:rPr>
          <w:rFonts w:hint="eastAsia" w:ascii="Times New Roman" w:hAnsi="Times New Roman" w:eastAsia="方正仿宋_GBK" w:cs="方正仿宋_GBK"/>
          <w:sz w:val="32"/>
          <w:szCs w:val="32"/>
          <w:lang w:eastAsia="zh-CN"/>
        </w:rPr>
        <w:t xml:space="preserve"> </w:t>
      </w:r>
      <w:r>
        <w:rPr>
          <w:rFonts w:ascii="Times New Roman" w:hAnsi="Times New Roman"/>
        </w:rPr>
        <w:t>数字化转型下开放大学</w:t>
      </w:r>
      <w:r>
        <w:rPr>
          <w:rFonts w:hint="eastAsia" w:ascii="Times New Roman" w:hAnsi="Times New Roman"/>
          <w:lang w:eastAsia="zh-CN"/>
        </w:rPr>
        <w:t>治理体系和治理能力现代化</w:t>
      </w:r>
      <w:r>
        <w:rPr>
          <w:rFonts w:ascii="Times New Roman" w:hAnsi="Times New Roman"/>
        </w:rPr>
        <w:t>研究</w:t>
      </w:r>
    </w:p>
    <w:p w14:paraId="10DD1794">
      <w:pPr>
        <w:pStyle w:val="11"/>
        <w:rPr>
          <w:rFonts w:ascii="Times New Roman" w:hAnsi="Times New Roman" w:eastAsia="方正仿宋_GB2312" w:cs="方正仿宋_GB2312"/>
          <w:sz w:val="32"/>
          <w:szCs w:val="32"/>
        </w:rPr>
      </w:pPr>
      <w:r>
        <w:rPr>
          <w:rFonts w:ascii="Times New Roman" w:hAnsi="Times New Roman" w:eastAsia="方正仿宋_GB2312" w:cs="方正仿宋_GB2312"/>
          <w:sz w:val="32"/>
          <w:szCs w:val="32"/>
        </w:rPr>
        <w:t>【研究方向】结合教育数字化战略，研究数字化技术赋能开放大学治理的实践路径，构建数字化治理框架，优化教学管理、学生管理、资源管理、体系管理流程，提升数据治理、智能决策、风险防控能力，推动开放大学治理向精准化、高效化、智能化转型。</w:t>
      </w:r>
    </w:p>
    <w:p w14:paraId="6065E312">
      <w:pPr>
        <w:pStyle w:val="11"/>
        <w:rPr>
          <w:rFonts w:hint="default" w:ascii="Times New Roman" w:hAnsi="Times New Roman" w:eastAsia="方正仿宋_GB2312" w:cs="方正仿宋_GB2312"/>
          <w:sz w:val="32"/>
          <w:szCs w:val="32"/>
          <w:lang w:val="en-US" w:eastAsia="zh-CN"/>
        </w:rPr>
      </w:pPr>
      <w:r>
        <w:rPr>
          <w:rFonts w:hint="eastAsia" w:ascii="Times New Roman" w:hAnsi="Times New Roman" w:cs="方正仿宋_GB2312"/>
          <w:sz w:val="32"/>
          <w:szCs w:val="32"/>
          <w:lang w:val="en-US" w:eastAsia="zh-CN"/>
        </w:rPr>
        <w:t>6. 人工智能赋能开放大学数字化教学管理提质增效机制研究</w:t>
      </w:r>
    </w:p>
    <w:p w14:paraId="5F9B2CA1">
      <w:pPr>
        <w:pStyle w:val="11"/>
        <w:rPr>
          <w:rFonts w:hint="default"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【研究方向】</w:t>
      </w:r>
      <w:r>
        <w:rPr>
          <w:rFonts w:hint="eastAsia" w:ascii="Times New Roman" w:hAnsi="Times New Roman" w:cs="方正仿宋_GB2312"/>
          <w:sz w:val="32"/>
          <w:szCs w:val="32"/>
          <w:lang w:val="en-US" w:eastAsia="zh-CN"/>
        </w:rPr>
        <w:t>聚焦人工智能技术在开放大学教学管理全流程中的深度应用，探索智能排课、学情预警、作业批改、质量监测等场景的应用范式，构建基于数据驱动的教学质量闭环反馈机制，实现从经验管理向智慧治理的跨越，让技术真正服务于人的全面发展与教育公平。</w:t>
      </w:r>
    </w:p>
    <w:p w14:paraId="7670591B">
      <w:pPr>
        <w:pStyle w:val="11"/>
        <w:rPr>
          <w:rFonts w:hint="eastAsia" w:ascii="Times New Roman" w:hAnsi="Times New Roman" w:cs="方正仿宋_GB2312"/>
          <w:sz w:val="32"/>
          <w:szCs w:val="32"/>
          <w:lang w:val="en-US" w:eastAsia="zh-CN"/>
        </w:rPr>
      </w:pPr>
      <w:r>
        <w:rPr>
          <w:rFonts w:hint="eastAsia" w:ascii="Times New Roman" w:hAnsi="Times New Roman" w:cs="方正仿宋_GB2312"/>
          <w:spacing wpsCustomData:val="-6" w:val="-6"/>
          <w:sz w:val="32"/>
          <w:szCs w:val="32"/>
          <w:lang w:val="en-US" w:eastAsia="zh-CN"/>
        </w:rPr>
        <w:t>7.</w:t>
      </w:r>
      <w:r>
        <w:rPr>
          <w:rFonts w:hint="eastAsia" w:ascii="Times New Roman" w:hAnsi="Times New Roman" w:cs="方正仿宋_GB2312"/>
          <w:spacing wpsCustomData:val="-6" w:val="7"/>
          <w:sz w:val="32"/>
          <w:szCs w:val="32"/>
          <w:lang w:val="en-US" w:eastAsia="zh-CN"/>
        </w:rPr>
        <w:t xml:space="preserve"> </w:t>
      </w:r>
      <w:r>
        <w:rPr>
          <w:rFonts w:hint="eastAsia" w:ascii="Times New Roman" w:hAnsi="Times New Roman" w:cs="方正仿宋_GB2312"/>
          <w:spacing wpsCustomData:val="-6" w:val="-6"/>
          <w:sz w:val="32"/>
          <w:szCs w:val="32"/>
          <w:lang w:val="en-US" w:eastAsia="zh-CN"/>
        </w:rPr>
        <w:t>AI</w:t>
      </w:r>
      <w:r>
        <w:rPr>
          <w:rFonts w:hint="eastAsia" w:ascii="Times New Roman" w:hAnsi="Times New Roman" w:cs="方正仿宋_GB2312"/>
          <w:spacing wpsCustomData:val="-6" w:val="7"/>
          <w:sz w:val="32"/>
          <w:szCs w:val="32"/>
          <w:lang w:val="en-US" w:eastAsia="zh-CN"/>
        </w:rPr>
        <w:t xml:space="preserve"> 自适应学习系统在开放大学计算机线上课程的应</w:t>
      </w:r>
      <w:r>
        <w:rPr>
          <w:rFonts w:hint="eastAsia" w:ascii="Times New Roman" w:hAnsi="Times New Roman" w:cs="方正仿宋_GB2312"/>
          <w:spacing wpsCustomData:val="-6" w:val="-6"/>
          <w:sz w:val="32"/>
          <w:szCs w:val="32"/>
          <w:lang w:val="en-US" w:eastAsia="zh-CN"/>
        </w:rPr>
        <w:t>用</w:t>
      </w:r>
      <w:r>
        <w:rPr>
          <w:rFonts w:hint="eastAsia" w:ascii="Times New Roman" w:hAnsi="Times New Roman" w:cs="方正仿宋_GB2312"/>
          <w:sz w:val="32"/>
          <w:szCs w:val="32"/>
          <w:lang w:val="en-US" w:eastAsia="zh-CN"/>
        </w:rPr>
        <w:t>研究</w:t>
      </w:r>
    </w:p>
    <w:p w14:paraId="6BA43B91">
      <w:pPr>
        <w:pStyle w:val="11"/>
        <w:rPr>
          <w:rFonts w:hint="default" w:ascii="Times New Roman" w:hAnsi="Times New Roman" w:cs="方正仿宋_GB2312"/>
          <w:sz w:val="32"/>
          <w:szCs w:val="32"/>
          <w:lang w:val="en-US" w:eastAsia="zh-CN"/>
        </w:rPr>
      </w:pPr>
      <w:r>
        <w:rPr>
          <w:rFonts w:hint="eastAsia" w:ascii="Times New Roman" w:hAnsi="Times New Roman" w:eastAsia="方正仿宋_GB2312" w:cs="方正仿宋_GB2312"/>
          <w:sz w:val="32"/>
          <w:szCs w:val="32"/>
          <w:lang w:val="en-US" w:eastAsia="zh-CN"/>
        </w:rPr>
        <w:t>【研究方向】</w:t>
      </w:r>
      <w:r>
        <w:rPr>
          <w:rFonts w:hint="eastAsia" w:ascii="Times New Roman" w:hAnsi="Times New Roman" w:cs="方正仿宋_GB2312"/>
          <w:sz w:val="32"/>
          <w:szCs w:val="32"/>
          <w:lang w:val="en-US" w:eastAsia="zh-CN"/>
        </w:rPr>
        <w:t>聚焦计算机类线上课程，引入AI自适应学习技术，分析学习者认知特征与知识掌握路径，构建动态调整的教学内容推送机制与个性化辅导策略，提升学习者的自主学习能力与课程完成率，为开放大学计算机类课程的智能化改革提供实证依据。</w:t>
      </w:r>
    </w:p>
    <w:p w14:paraId="0F5A3E22">
      <w:pPr>
        <w:pStyle w:val="4"/>
        <w:numPr>
          <w:ilvl w:val="0"/>
          <w:numId w:val="0"/>
        </w:numPr>
        <w:bidi w:val="0"/>
        <w:ind w:left="0" w:leftChars="0" w:firstLine="640"/>
        <w:rPr>
          <w:rFonts w:ascii="Times New Roman" w:hAnsi="Times New Roman" w:eastAsia="方正仿宋_GB2312" w:cs="方正仿宋_GB2312"/>
          <w:b w:val="0"/>
          <w:szCs w:val="32"/>
        </w:rPr>
      </w:pPr>
      <w:r>
        <w:rPr>
          <w:rFonts w:hint="eastAsia" w:ascii="Times New Roman" w:hAnsi="Times New Roman"/>
          <w:lang w:val="en-US" w:eastAsia="zh-CN"/>
        </w:rPr>
        <w:t>8</w:t>
      </w:r>
      <w:r>
        <w:rPr>
          <w:rFonts w:hint="eastAsia" w:ascii="Times New Roman" w:hAnsi="Times New Roman"/>
          <w:lang w:eastAsia="zh-CN"/>
        </w:rPr>
        <w:t>.</w:t>
      </w:r>
      <w:r>
        <w:rPr>
          <w:rFonts w:hint="eastAsia" w:ascii="Times New Roman" w:hAnsi="Times New Roman" w:eastAsia="方正仿宋_GBK" w:cs="方正仿宋_GBK"/>
          <w:sz w:val="32"/>
          <w:szCs w:val="32"/>
          <w:lang w:eastAsia="zh-CN"/>
        </w:rPr>
        <w:t xml:space="preserve"> </w:t>
      </w:r>
      <w:r>
        <w:rPr>
          <w:rFonts w:ascii="Times New Roman" w:hAnsi="Times New Roman"/>
        </w:rPr>
        <w:t>开放大学</w:t>
      </w:r>
      <w:r>
        <w:rPr>
          <w:rFonts w:hint="eastAsia"/>
          <w:lang w:eastAsia="zh-CN"/>
        </w:rPr>
        <w:t>“</w:t>
      </w:r>
      <w:r>
        <w:rPr>
          <w:rFonts w:ascii="Times New Roman" w:hAnsi="Times New Roman"/>
        </w:rPr>
        <w:t>科研＋招生</w:t>
      </w:r>
      <w:r>
        <w:rPr>
          <w:rFonts w:hint="eastAsia"/>
          <w:lang w:eastAsia="zh-CN"/>
        </w:rPr>
        <w:t>”</w:t>
      </w:r>
      <w:r>
        <w:rPr>
          <w:rFonts w:ascii="Times New Roman" w:hAnsi="Times New Roman"/>
        </w:rPr>
        <w:t>双轮驱动社会服务模式创新研究</w:t>
      </w:r>
    </w:p>
    <w:p w14:paraId="3573AB93">
      <w:pPr>
        <w:pStyle w:val="11"/>
        <w:rPr>
          <w:rFonts w:ascii="Times New Roman" w:hAnsi="Times New Roman" w:eastAsia="方正仿宋_GB2312" w:cs="方正仿宋_GB2312"/>
          <w:sz w:val="32"/>
          <w:szCs w:val="32"/>
        </w:rPr>
      </w:pPr>
      <w:r>
        <w:rPr>
          <w:rFonts w:ascii="Times New Roman" w:hAnsi="Times New Roman" w:eastAsia="方正仿宋_GB2312" w:cs="方正仿宋_GB2312"/>
          <w:sz w:val="32"/>
          <w:szCs w:val="32"/>
        </w:rPr>
        <w:t xml:space="preserve">【研究方向】针对开放大学招生缺乏科研支撑的短板，构建 </w:t>
      </w:r>
      <w:r>
        <w:rPr>
          <w:rFonts w:hint="eastAsia" w:cs="方正仿宋_GB2312"/>
          <w:sz w:val="32"/>
          <w:szCs w:val="32"/>
          <w:lang w:eastAsia="zh-CN"/>
        </w:rPr>
        <w:t>“</w:t>
      </w:r>
      <w:r>
        <w:rPr>
          <w:rFonts w:ascii="Times New Roman" w:hAnsi="Times New Roman" w:eastAsia="方正仿宋_GB2312" w:cs="方正仿宋_GB2312"/>
          <w:sz w:val="32"/>
          <w:szCs w:val="32"/>
        </w:rPr>
        <w:t>科研＋招生</w:t>
      </w:r>
      <w:r>
        <w:rPr>
          <w:rFonts w:hint="eastAsia" w:cs="方正仿宋_GB2312"/>
          <w:sz w:val="32"/>
          <w:szCs w:val="32"/>
          <w:lang w:eastAsia="zh-CN"/>
        </w:rPr>
        <w:t>”</w:t>
      </w:r>
      <w:r>
        <w:rPr>
          <w:rFonts w:ascii="Times New Roman" w:hAnsi="Times New Roman" w:eastAsia="方正仿宋_GB2312" w:cs="方正仿宋_GB2312"/>
          <w:sz w:val="32"/>
          <w:szCs w:val="32"/>
        </w:rPr>
        <w:t xml:space="preserve"> 双轮驱动社会服务模式，探究课题引发生源、社教向学历转化、科研素材宣传、学员参与留存、服务生源识别转化路径，形成标准化流程与可复制案例，提升芜湖开放大学招生转化效率。</w:t>
      </w:r>
    </w:p>
    <w:p w14:paraId="6B5185A7">
      <w:pPr>
        <w:pStyle w:val="4"/>
        <w:numPr>
          <w:ilvl w:val="0"/>
          <w:numId w:val="0"/>
        </w:numPr>
        <w:bidi w:val="0"/>
        <w:ind w:left="0" w:leftChars="0" w:firstLine="640"/>
        <w:rPr>
          <w:rFonts w:ascii="Times New Roman" w:hAnsi="Times New Roman" w:eastAsia="方正仿宋_GB2312" w:cs="方正仿宋_GB2312"/>
          <w:b w:val="0"/>
          <w:szCs w:val="32"/>
        </w:rPr>
      </w:pPr>
      <w:r>
        <w:rPr>
          <w:rFonts w:hint="eastAsia" w:ascii="Times New Roman" w:hAnsi="Times New Roman"/>
          <w:lang w:val="en-US" w:eastAsia="zh-CN"/>
        </w:rPr>
        <w:t>9</w:t>
      </w:r>
      <w:r>
        <w:rPr>
          <w:rFonts w:hint="eastAsia" w:ascii="Times New Roman" w:hAnsi="Times New Roman"/>
          <w:lang w:eastAsia="zh-CN"/>
        </w:rPr>
        <w:t>.</w:t>
      </w:r>
      <w:r>
        <w:rPr>
          <w:rFonts w:hint="eastAsia" w:ascii="Times New Roman" w:hAnsi="Times New Roman" w:eastAsia="方正仿宋_GBK" w:cs="方正仿宋_GBK"/>
          <w:sz w:val="32"/>
          <w:szCs w:val="32"/>
          <w:lang w:eastAsia="zh-CN"/>
        </w:rPr>
        <w:t xml:space="preserve"> </w:t>
      </w:r>
      <w:r>
        <w:rPr>
          <w:rFonts w:ascii="Times New Roman" w:hAnsi="Times New Roman"/>
        </w:rPr>
        <w:t>数字化转型背景下开放大学精准招生策略研究</w:t>
      </w:r>
    </w:p>
    <w:p w14:paraId="6370BE79">
      <w:pPr>
        <w:pStyle w:val="11"/>
        <w:rPr>
          <w:rFonts w:ascii="Times New Roman" w:hAnsi="Times New Roman" w:eastAsia="方正仿宋_GB2312" w:cs="方正仿宋_GB2312"/>
          <w:sz w:val="32"/>
          <w:szCs w:val="32"/>
        </w:rPr>
      </w:pPr>
      <w:r>
        <w:rPr>
          <w:rFonts w:ascii="Times New Roman" w:hAnsi="Times New Roman" w:eastAsia="方正仿宋_GB2312" w:cs="方正仿宋_GB2312"/>
          <w:sz w:val="32"/>
          <w:szCs w:val="32"/>
        </w:rPr>
        <w:t>【研究方向】立足教育数字化转型，运用大数据、人工智能破解开放大学精准招生短板，构建本地学习者画像、个性化推荐、新媒体引流、线上课程获客、数字化管理体系，搭建招生数据分析系统，形成数字化招生运营规范，提升开放大学招生精准度与工作效能。</w:t>
      </w:r>
    </w:p>
    <w:p w14:paraId="1CA94ED7">
      <w:pPr>
        <w:pStyle w:val="11"/>
        <w:rPr>
          <w:rFonts w:hint="default" w:ascii="Times New Roman" w:hAnsi="Times New Roman" w:cs="方正仿宋_GB2312"/>
          <w:sz w:val="32"/>
          <w:szCs w:val="32"/>
          <w:lang w:val="en-US" w:eastAsia="zh-CN"/>
        </w:rPr>
      </w:pPr>
    </w:p>
    <w:p w14:paraId="617FF1F3">
      <w:pPr>
        <w:pStyle w:val="3"/>
        <w:numPr>
          <w:ilvl w:val="0"/>
          <w:numId w:val="0"/>
        </w:numPr>
        <w:topLinePunct w:val="0"/>
        <w:ind w:left="0" w:leftChars="0" w:firstLine="640"/>
        <w:rPr>
          <w:rFonts w:hint="eastAsia" w:ascii="Times New Roman" w:hAnsi="Times New Roman" w:eastAsia="方正楷体_GB2312" w:cs="方正楷体_GB2312"/>
          <w:b w:val="0"/>
        </w:rPr>
      </w:pPr>
      <w:bookmarkStart w:id="3" w:name="heading_5"/>
      <w:r>
        <w:rPr>
          <w:rFonts w:hint="eastAsia" w:ascii="Times New Roman" w:hAnsi="Times New Roman"/>
          <w:lang w:eastAsia="zh-CN"/>
        </w:rPr>
        <w:t>（三）</w:t>
      </w:r>
      <w:r>
        <w:rPr>
          <w:rFonts w:ascii="Times New Roman" w:hAnsi="Times New Roman"/>
        </w:rPr>
        <w:t>服务安徽与区域发展研究</w:t>
      </w:r>
      <w:bookmarkEnd w:id="3"/>
    </w:p>
    <w:p w14:paraId="1164D899">
      <w:pPr>
        <w:pStyle w:val="4"/>
        <w:numPr>
          <w:ilvl w:val="0"/>
          <w:numId w:val="0"/>
        </w:numPr>
        <w:ind w:left="0" w:leftChars="0" w:firstLine="640"/>
        <w:rPr>
          <w:rFonts w:ascii="Times New Roman" w:hAnsi="Times New Roman"/>
          <w:b w:val="0"/>
        </w:rPr>
      </w:pPr>
      <w:r>
        <w:rPr>
          <w:rFonts w:hint="eastAsia" w:ascii="Times New Roman" w:hAnsi="Times New Roman"/>
          <w:lang w:eastAsia="zh-CN"/>
        </w:rPr>
        <w:t>1.</w:t>
      </w:r>
      <w:r>
        <w:rPr>
          <w:rFonts w:hint="eastAsia" w:ascii="Times New Roman" w:hAnsi="Times New Roman" w:eastAsia="方正仿宋_GBK" w:cs="方正仿宋_GBK"/>
          <w:sz w:val="32"/>
          <w:szCs w:val="32"/>
          <w:lang w:eastAsia="zh-CN"/>
        </w:rPr>
        <w:t xml:space="preserve"> </w:t>
      </w:r>
      <w:r>
        <w:rPr>
          <w:rFonts w:ascii="Times New Roman" w:hAnsi="Times New Roman"/>
        </w:rPr>
        <w:t>开放大学服务安徽乡村振兴的教育供给与实践模式研究</w:t>
      </w:r>
    </w:p>
    <w:p w14:paraId="0F4CC83A">
      <w:pPr>
        <w:pStyle w:val="11"/>
        <w:rPr>
          <w:rFonts w:ascii="Times New Roman" w:hAnsi="Times New Roman" w:eastAsia="方正仿宋_GB2312" w:cs="方正仿宋_GB2312"/>
          <w:sz w:val="32"/>
          <w:szCs w:val="32"/>
        </w:rPr>
      </w:pPr>
      <w:r>
        <w:rPr>
          <w:rFonts w:ascii="Times New Roman" w:hAnsi="Times New Roman" w:eastAsia="方正仿宋_GB2312" w:cs="方正仿宋_GB2312"/>
          <w:sz w:val="32"/>
          <w:szCs w:val="32"/>
        </w:rPr>
        <w:t>【研究方向】聚焦安徽乡村发展短板，研究开放大学面向乡村的学历教育、技能培训、素养提升等教育供给体系，优化资源配置、创新服务模式，构建精准对接乡村需求的教育服务机制，为安徽乡村振兴提供人才支撑与智力支持。</w:t>
      </w:r>
      <w:bookmarkStart w:id="4" w:name="_GoBack"/>
      <w:bookmarkEnd w:id="4"/>
    </w:p>
    <w:p w14:paraId="6FC1715D">
      <w:pPr>
        <w:pStyle w:val="4"/>
        <w:numPr>
          <w:ilvl w:val="0"/>
          <w:numId w:val="0"/>
        </w:numPr>
        <w:ind w:left="0" w:leftChars="0" w:firstLine="640"/>
        <w:rPr>
          <w:rFonts w:ascii="Times New Roman" w:hAnsi="Times New Roman"/>
          <w:b w:val="0"/>
        </w:rPr>
      </w:pPr>
      <w:r>
        <w:rPr>
          <w:rFonts w:hint="eastAsia" w:ascii="Times New Roman" w:hAnsi="Times New Roman"/>
          <w:lang w:eastAsia="zh-CN"/>
        </w:rPr>
        <w:t>2.</w:t>
      </w:r>
      <w:r>
        <w:rPr>
          <w:rFonts w:hint="eastAsia" w:ascii="Times New Roman" w:hAnsi="Times New Roman" w:eastAsia="方正仿宋_GBK" w:cs="方正仿宋_GBK"/>
          <w:sz w:val="32"/>
          <w:szCs w:val="32"/>
          <w:lang w:eastAsia="zh-CN"/>
        </w:rPr>
        <w:t xml:space="preserve"> </w:t>
      </w:r>
      <w:r>
        <w:rPr>
          <w:rFonts w:ascii="Times New Roman" w:hAnsi="Times New Roman"/>
        </w:rPr>
        <w:t xml:space="preserve">开放大学服务安徽数字乡村建设的路径与机制研究  </w:t>
      </w:r>
    </w:p>
    <w:p w14:paraId="07313A3D">
      <w:pPr>
        <w:pStyle w:val="11"/>
        <w:rPr>
          <w:rFonts w:ascii="Times New Roman" w:hAnsi="Times New Roman" w:eastAsia="方正仿宋_GB2312" w:cs="方正仿宋_GB2312"/>
          <w:sz w:val="32"/>
          <w:szCs w:val="32"/>
        </w:rPr>
      </w:pPr>
      <w:r>
        <w:rPr>
          <w:rFonts w:ascii="Times New Roman" w:hAnsi="Times New Roman" w:eastAsia="方正仿宋_GB2312" w:cs="方正仿宋_GB2312"/>
          <w:sz w:val="32"/>
          <w:szCs w:val="32"/>
        </w:rPr>
        <w:t>【研究方向】聚焦安徽数字乡村建设需求，研究开放大学在数字技术赋能乡村治理、产业升级、公共服务中的切入点和实施路径，探索数字化学习资源供给、数字技能培训、智慧农业推广等具体机制，构建开放大学与数字乡村深度融合的服务体系，助力安徽乡村数字化转型与高质量发展。</w:t>
      </w:r>
    </w:p>
    <w:p w14:paraId="04F5B583">
      <w:pPr>
        <w:pStyle w:val="4"/>
        <w:numPr>
          <w:ilvl w:val="0"/>
          <w:numId w:val="0"/>
        </w:numPr>
        <w:ind w:left="0" w:leftChars="0" w:firstLine="640"/>
        <w:rPr>
          <w:rFonts w:ascii="Times New Roman" w:hAnsi="Times New Roman"/>
          <w:b w:val="0"/>
        </w:rPr>
      </w:pPr>
      <w:r>
        <w:rPr>
          <w:rFonts w:hint="eastAsia" w:ascii="Times New Roman" w:hAnsi="Times New Roman"/>
          <w:lang w:eastAsia="zh-CN"/>
        </w:rPr>
        <w:t>3.</w:t>
      </w:r>
      <w:r>
        <w:rPr>
          <w:rFonts w:hint="eastAsia" w:ascii="Times New Roman" w:hAnsi="Times New Roman" w:eastAsia="方正仿宋_GBK" w:cs="方正仿宋_GBK"/>
          <w:sz w:val="32"/>
          <w:szCs w:val="32"/>
          <w:lang w:eastAsia="zh-CN"/>
        </w:rPr>
        <w:t xml:space="preserve"> </w:t>
      </w:r>
      <w:r>
        <w:rPr>
          <w:rFonts w:ascii="Times New Roman" w:hAnsi="Times New Roman"/>
        </w:rPr>
        <w:t>开放大学服务教育部学习型社会建设重点任务的实践路径研究</w:t>
      </w:r>
    </w:p>
    <w:p w14:paraId="5BDD197F">
      <w:pPr>
        <w:pStyle w:val="11"/>
        <w:rPr>
          <w:rFonts w:ascii="Times New Roman" w:hAnsi="Times New Roman" w:eastAsia="方正仿宋_GB2312" w:cs="方正仿宋_GB2312"/>
          <w:sz w:val="32"/>
          <w:szCs w:val="32"/>
        </w:rPr>
      </w:pPr>
      <w:r>
        <w:rPr>
          <w:rFonts w:ascii="Times New Roman" w:hAnsi="Times New Roman" w:eastAsia="方正仿宋_GB2312" w:cs="方正仿宋_GB2312"/>
          <w:sz w:val="32"/>
          <w:szCs w:val="32"/>
        </w:rPr>
        <w:t>【研究方向】对标教育部学习型社会建设重点任务，明确开放大学的服务职责与实践方向，研究终身学习资源供给、社区教育赋能、老年教育提质、全民数字素养提升等具体路径，形成务实管用的实践方案，助力国家学习型社会建设目标落地。</w:t>
      </w:r>
    </w:p>
    <w:p w14:paraId="340E51CC">
      <w:pPr>
        <w:pStyle w:val="4"/>
        <w:numPr>
          <w:ilvl w:val="0"/>
          <w:numId w:val="0"/>
        </w:numPr>
        <w:ind w:left="0" w:leftChars="0" w:firstLine="640"/>
        <w:rPr>
          <w:rFonts w:ascii="Times New Roman" w:hAnsi="Times New Roman"/>
          <w:b w:val="0"/>
        </w:rPr>
      </w:pPr>
      <w:r>
        <w:rPr>
          <w:rFonts w:hint="eastAsia" w:ascii="Times New Roman" w:hAnsi="Times New Roman"/>
          <w:lang w:eastAsia="zh-CN"/>
        </w:rPr>
        <w:t>4.</w:t>
      </w:r>
      <w:r>
        <w:rPr>
          <w:rFonts w:hint="eastAsia" w:ascii="Times New Roman" w:hAnsi="Times New Roman" w:eastAsia="方正仿宋_GBK" w:cs="方正仿宋_GBK"/>
          <w:sz w:val="32"/>
          <w:szCs w:val="32"/>
          <w:lang w:eastAsia="zh-CN"/>
        </w:rPr>
        <w:t xml:space="preserve"> </w:t>
      </w:r>
      <w:r>
        <w:rPr>
          <w:rFonts w:ascii="Times New Roman" w:hAnsi="Times New Roman"/>
        </w:rPr>
        <w:t>开放大学服务安徽社区教育高质量发展的路径研究</w:t>
      </w:r>
    </w:p>
    <w:p w14:paraId="37247D28">
      <w:pPr>
        <w:pStyle w:val="11"/>
        <w:rPr>
          <w:rFonts w:ascii="Times New Roman" w:hAnsi="Times New Roman" w:eastAsia="方正仿宋_GB2312" w:cs="方正仿宋_GB2312"/>
          <w:sz w:val="32"/>
          <w:szCs w:val="32"/>
        </w:rPr>
      </w:pPr>
      <w:r>
        <w:rPr>
          <w:rFonts w:ascii="Times New Roman" w:hAnsi="Times New Roman" w:eastAsia="方正仿宋_GB2312" w:cs="方正仿宋_GB2312"/>
          <w:sz w:val="32"/>
          <w:szCs w:val="32"/>
        </w:rPr>
        <w:t>【研究方向】立足安徽社区教育发展实际，研究开放大学在社区教育资源整合、课程开发、师资共享、数字化平台建设等方面的服务路径，探索开放大学与社区教育深度融合的服务模式，构建社区教育共同体，形成可复制、可推广的实践案例，助力安徽社区教育提质增效。</w:t>
      </w:r>
    </w:p>
    <w:p w14:paraId="6B6860E6">
      <w:pPr>
        <w:pStyle w:val="4"/>
        <w:numPr>
          <w:ilvl w:val="0"/>
          <w:numId w:val="0"/>
        </w:numPr>
        <w:ind w:left="0" w:leftChars="0" w:firstLine="640"/>
        <w:rPr>
          <w:rFonts w:ascii="Times New Roman" w:hAnsi="Times New Roman"/>
          <w:b w:val="0"/>
        </w:rPr>
      </w:pPr>
      <w:r>
        <w:rPr>
          <w:rFonts w:hint="eastAsia" w:ascii="Times New Roman" w:hAnsi="Times New Roman"/>
          <w:lang w:eastAsia="zh-CN"/>
        </w:rPr>
        <w:t>5.</w:t>
      </w:r>
      <w:r>
        <w:rPr>
          <w:rFonts w:hint="eastAsia" w:ascii="Times New Roman" w:hAnsi="Times New Roman" w:eastAsia="方正仿宋_GBK" w:cs="方正仿宋_GBK"/>
          <w:sz w:val="32"/>
          <w:szCs w:val="32"/>
          <w:lang w:eastAsia="zh-CN"/>
        </w:rPr>
        <w:t xml:space="preserve"> </w:t>
      </w:r>
      <w:r>
        <w:rPr>
          <w:rFonts w:ascii="Times New Roman" w:hAnsi="Times New Roman"/>
        </w:rPr>
        <w:t>服务皖北振兴、长三角一体化的终身学习资源建设研究</w:t>
      </w:r>
    </w:p>
    <w:p w14:paraId="32C20ACE">
      <w:pPr>
        <w:pStyle w:val="11"/>
        <w:rPr>
          <w:rFonts w:ascii="Times New Roman" w:hAnsi="Times New Roman" w:eastAsia="方正仿宋_GB2312" w:cs="方正仿宋_GB2312"/>
          <w:sz w:val="32"/>
          <w:szCs w:val="32"/>
        </w:rPr>
      </w:pPr>
      <w:r>
        <w:rPr>
          <w:rFonts w:ascii="Times New Roman" w:hAnsi="Times New Roman" w:eastAsia="方正仿宋_GB2312" w:cs="方正仿宋_GB2312"/>
          <w:sz w:val="32"/>
          <w:szCs w:val="32"/>
        </w:rPr>
        <w:t>【研究方向】立足皖北振兴与长三角一体化发展需求，调研区域终身学习资源短板，研究适配皖北产业发展、长三角协同需求的课程资源、数字资源、实践资源建设路径，搭建跨区域资源共享平台，推动优质终身学习资源向皖北及长三角区域下沉。</w:t>
      </w:r>
    </w:p>
    <w:p w14:paraId="3B8DB351">
      <w:pPr>
        <w:pStyle w:val="4"/>
        <w:numPr>
          <w:ilvl w:val="0"/>
          <w:numId w:val="0"/>
        </w:numPr>
        <w:ind w:left="0" w:leftChars="0" w:firstLine="640"/>
        <w:rPr>
          <w:rFonts w:ascii="Times New Roman" w:hAnsi="Times New Roman"/>
          <w:b w:val="0"/>
        </w:rPr>
      </w:pPr>
      <w:r>
        <w:rPr>
          <w:rFonts w:hint="eastAsia" w:ascii="Times New Roman" w:hAnsi="Times New Roman"/>
          <w:lang w:eastAsia="zh-CN"/>
        </w:rPr>
        <w:t>6.</w:t>
      </w:r>
      <w:r>
        <w:rPr>
          <w:rFonts w:hint="eastAsia" w:ascii="Times New Roman" w:hAnsi="Times New Roman" w:eastAsia="方正仿宋_GBK" w:cs="方正仿宋_GBK"/>
          <w:sz w:val="32"/>
          <w:szCs w:val="32"/>
          <w:lang w:eastAsia="zh-CN"/>
        </w:rPr>
        <w:t xml:space="preserve"> </w:t>
      </w:r>
      <w:r>
        <w:rPr>
          <w:rFonts w:ascii="Times New Roman" w:hAnsi="Times New Roman"/>
        </w:rPr>
        <w:t xml:space="preserve">服务长三角一体化发展的开放大学协同机制研究  </w:t>
      </w:r>
    </w:p>
    <w:p w14:paraId="6B42A364">
      <w:pPr>
        <w:pStyle w:val="11"/>
        <w:rPr>
          <w:rFonts w:ascii="Times New Roman" w:hAnsi="Times New Roman" w:eastAsia="方正仿宋_GB2312" w:cs="方正仿宋_GB2312"/>
          <w:sz w:val="32"/>
          <w:szCs w:val="32"/>
        </w:rPr>
      </w:pPr>
      <w:r>
        <w:rPr>
          <w:rFonts w:ascii="Times New Roman" w:hAnsi="Times New Roman" w:eastAsia="方正仿宋_GB2312" w:cs="方正仿宋_GB2312"/>
          <w:sz w:val="32"/>
          <w:szCs w:val="32"/>
        </w:rPr>
        <w:t>【研究方向】聚焦长三角一体化国家战略，研究开放大学在长三角区域内的协同发展机制，探索跨省际学分互认、课程共建、师资共享、平台互通、资源联动等合作路径，构建开放大学服务长三角一体化发展的协同治理框架，形成可操作、可落地的制度安排与运行模式，为区域教育协同发展提供实践参考。</w:t>
      </w:r>
    </w:p>
    <w:p w14:paraId="3EFA7E61">
      <w:pPr>
        <w:pStyle w:val="4"/>
        <w:numPr>
          <w:ilvl w:val="0"/>
          <w:numId w:val="0"/>
        </w:numPr>
        <w:ind w:left="0" w:leftChars="0" w:firstLine="640"/>
        <w:rPr>
          <w:rFonts w:ascii="Times New Roman" w:hAnsi="Times New Roman"/>
          <w:b w:val="0"/>
        </w:rPr>
      </w:pPr>
      <w:r>
        <w:rPr>
          <w:rFonts w:hint="eastAsia" w:ascii="Times New Roman" w:hAnsi="Times New Roman"/>
          <w:lang w:eastAsia="zh-CN"/>
        </w:rPr>
        <w:t>7.</w:t>
      </w:r>
      <w:r>
        <w:rPr>
          <w:rFonts w:hint="eastAsia" w:ascii="Times New Roman" w:hAnsi="Times New Roman" w:eastAsia="方正仿宋_GBK" w:cs="方正仿宋_GBK"/>
          <w:sz w:val="32"/>
          <w:szCs w:val="32"/>
          <w:lang w:eastAsia="zh-CN"/>
        </w:rPr>
        <w:t xml:space="preserve"> </w:t>
      </w:r>
      <w:r>
        <w:rPr>
          <w:rFonts w:ascii="Times New Roman" w:hAnsi="Times New Roman"/>
        </w:rPr>
        <w:t>安徽职业教育与开放教育产教融合协同创新研究</w:t>
      </w:r>
    </w:p>
    <w:p w14:paraId="345C9BA5">
      <w:pPr>
        <w:pStyle w:val="11"/>
        <w:rPr>
          <w:rFonts w:ascii="Times New Roman" w:hAnsi="Times New Roman" w:eastAsia="方正仿宋_GB2312" w:cs="方正仿宋_GB2312"/>
          <w:sz w:val="32"/>
          <w:szCs w:val="32"/>
        </w:rPr>
      </w:pPr>
      <w:r>
        <w:rPr>
          <w:rFonts w:ascii="Times New Roman" w:hAnsi="Times New Roman" w:eastAsia="方正仿宋_GB2312" w:cs="方正仿宋_GB2312"/>
          <w:sz w:val="32"/>
          <w:szCs w:val="32"/>
        </w:rPr>
        <w:t>【研究方向】立足安徽产业发展需求，研究职业教育与开放教育在产教融合中的协同路径，搭建校企合作平台，优化人才培养方案，共建实训基地、特色课程与培训项目，推动两类教育资源</w:t>
      </w:r>
      <w:r>
        <w:rPr>
          <w:rFonts w:ascii="Times New Roman" w:hAnsi="Times New Roman" w:eastAsia="方正仿宋_GB2312" w:cs="方正仿宋_GB2312"/>
          <w:spacing wpsCustomData:val="-6" w:val="0"/>
          <w:sz w:val="32"/>
          <w:szCs w:val="32"/>
        </w:rPr>
        <w:t>互</w:t>
      </w:r>
      <w:r>
        <w:rPr>
          <w:rFonts w:ascii="Times New Roman" w:hAnsi="Times New Roman" w:eastAsia="方正仿宋_GB2312" w:cs="方正仿宋_GB2312"/>
          <w:spacing wpsCustomData:val="-6" w:val="1"/>
          <w:sz w:val="32"/>
          <w:szCs w:val="32"/>
        </w:rPr>
        <w:t>补</w:t>
      </w:r>
      <w:r>
        <w:rPr>
          <w:rFonts w:ascii="Times New Roman" w:hAnsi="Times New Roman" w:eastAsia="方正仿宋_GB2312" w:cs="方正仿宋_GB2312"/>
          <w:spacing wpsCustomData:val="-6" w:val="0"/>
          <w:sz w:val="32"/>
          <w:szCs w:val="32"/>
        </w:rPr>
        <w:t>、优势整合</w:t>
      </w:r>
      <w:r>
        <w:rPr>
          <w:rFonts w:ascii="Times New Roman" w:hAnsi="Times New Roman" w:eastAsia="方正仿宋_GB2312" w:cs="方正仿宋_GB2312"/>
          <w:spacing wpsCustomData:val="-6" w:val="1"/>
          <w:sz w:val="32"/>
          <w:szCs w:val="32"/>
        </w:rPr>
        <w:t>，</w:t>
      </w:r>
      <w:r>
        <w:rPr>
          <w:rFonts w:ascii="Times New Roman" w:hAnsi="Times New Roman" w:eastAsia="方正仿宋_GB2312" w:cs="方正仿宋_GB2312"/>
          <w:spacing wpsCustomData:val="-6" w:val="0"/>
          <w:sz w:val="32"/>
          <w:szCs w:val="32"/>
        </w:rPr>
        <w:t>培育适配安徽产业升级的应用型技术技</w:t>
      </w:r>
      <w:r>
        <w:rPr>
          <w:rFonts w:ascii="Times New Roman" w:hAnsi="Times New Roman" w:eastAsia="方正仿宋_GB2312" w:cs="方正仿宋_GB2312"/>
          <w:spacing wpsCustomData:val="-6" w:val="-6"/>
          <w:sz w:val="32"/>
          <w:szCs w:val="32"/>
        </w:rPr>
        <w:t>能</w:t>
      </w:r>
      <w:r>
        <w:rPr>
          <w:rFonts w:ascii="Times New Roman" w:hAnsi="Times New Roman" w:eastAsia="方正仿宋_GB2312" w:cs="方正仿宋_GB2312"/>
          <w:sz w:val="32"/>
          <w:szCs w:val="32"/>
        </w:rPr>
        <w:t>人才。</w:t>
      </w:r>
    </w:p>
    <w:p w14:paraId="39160581">
      <w:pPr>
        <w:keepNext w:val="0"/>
        <w:keepLines w:val="0"/>
        <w:pageBreakBefore w:val="0"/>
        <w:widowControl w:val="0"/>
        <w:numPr>
          <w:ilvl w:val="0"/>
          <w:numId w:val="0"/>
        </w:numPr>
        <w:kinsoku/>
        <w:wordWrap/>
        <w:overflowPunct/>
        <w:topLinePunct w:val="0"/>
        <w:autoSpaceDE/>
        <w:autoSpaceDN/>
        <w:bidi w:val="0"/>
        <w:adjustRightInd w:val="0"/>
        <w:snapToGrid w:val="0"/>
        <w:spacing w:before="120" w:after="120" w:line="288" w:lineRule="auto"/>
        <w:ind w:leftChars="0"/>
        <w:jc w:val="both"/>
        <w:textAlignment w:val="auto"/>
        <w:rPr>
          <w:rFonts w:hint="eastAsia" w:ascii="Times New Roman" w:hAnsi="Times New Roman" w:eastAsia="方正仿宋_GBK" w:cs="方正仿宋_GBK"/>
          <w:sz w:val="28"/>
          <w:szCs w:val="28"/>
          <w:lang w:val="en-US" w:eastAsia="zh-CN"/>
        </w:rPr>
      </w:pPr>
    </w:p>
    <w:p w14:paraId="52BC9668">
      <w:pPr>
        <w:keepNext w:val="0"/>
        <w:keepLines w:val="0"/>
        <w:pageBreakBefore w:val="0"/>
        <w:widowControl w:val="0"/>
        <w:numPr>
          <w:ilvl w:val="0"/>
          <w:numId w:val="0"/>
        </w:numPr>
        <w:kinsoku/>
        <w:wordWrap/>
        <w:overflowPunct/>
        <w:topLinePunct w:val="0"/>
        <w:autoSpaceDE/>
        <w:autoSpaceDN/>
        <w:bidi w:val="0"/>
        <w:adjustRightInd w:val="0"/>
        <w:snapToGrid w:val="0"/>
        <w:spacing w:before="120" w:after="120" w:line="288" w:lineRule="auto"/>
        <w:ind w:leftChars="0"/>
        <w:jc w:val="both"/>
        <w:textAlignment w:val="auto"/>
        <w:rPr>
          <w:rFonts w:hint="eastAsia" w:ascii="Times New Roman" w:hAnsi="Times New Roman" w:eastAsia="方正仿宋_GBK" w:cs="方正仿宋_GBK"/>
          <w:sz w:val="28"/>
          <w:szCs w:val="28"/>
          <w:lang w:val="en-US" w:eastAsia="zh-CN"/>
        </w:rPr>
      </w:pPr>
    </w:p>
    <w:p w14:paraId="57022459">
      <w:pPr>
        <w:pStyle w:val="11"/>
        <w:bidi w:val="0"/>
        <w:ind w:left="0" w:leftChars="0" w:firstLine="0" w:firstLineChars="0"/>
        <w:rPr>
          <w:rFonts w:ascii="Times New Roman" w:hAnsi="Times New Roman"/>
        </w:rPr>
      </w:pPr>
    </w:p>
    <w:sectPr>
      <w:headerReference r:id="rId3" w:type="default"/>
      <w:footerReference r:id="rId5" w:type="default"/>
      <w:headerReference r:id="rId4" w:type="even"/>
      <w:footerReference r:id="rId6" w:type="even"/>
      <w:pgSz w:w="11905" w:h="16840"/>
      <w:pgMar w:top="2098" w:right="1474" w:bottom="1984" w:left="1587" w:header="851" w:footer="1417" w:gutter="0"/>
      <w:pgNumType w:fmt="decimal" w:start="1"/>
      <w:cols w:space="720" w:num="1"/>
      <w:docGrid w:type="linesAndChars" w:linePitch="579" w:charSpace="1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auto"/>
    <w:pitch w:val="default"/>
    <w:sig w:usb0="E4002EFF" w:usb1="C000E47F" w:usb2="00000009" w:usb3="00000000" w:csb0="200001FF" w:csb1="00000000"/>
  </w:font>
  <w:font w:name="方正楷体_GB2312">
    <w:panose1 w:val="02000000000000000000"/>
    <w:charset w:val="86"/>
    <w:family w:val="auto"/>
    <w:pitch w:val="default"/>
    <w:sig w:usb0="A00002BF" w:usb1="184F6CFA" w:usb2="00000012" w:usb3="00000000" w:csb0="00040001" w:csb1="00000000"/>
    <w:embedRegular r:id="rId1" w:fontKey="{E50CAE43-D5CE-44D0-8E13-21E6E9180B12}"/>
  </w:font>
  <w:font w:name="方正仿宋_GB2312">
    <w:panose1 w:val="02000000000000000000"/>
    <w:charset w:val="86"/>
    <w:family w:val="auto"/>
    <w:pitch w:val="default"/>
    <w:sig w:usb0="A00002BF" w:usb1="184F6CFA" w:usb2="00000012" w:usb3="00000000" w:csb0="00040001" w:csb1="00000000"/>
    <w:embedRegular r:id="rId2" w:fontKey="{2AD5F6DC-AF7C-495D-8F04-33E224C649A1}"/>
  </w:font>
  <w:font w:name="Arial Unicode MS">
    <w:altName w:val="宋体"/>
    <w:panose1 w:val="020B0604020202020204"/>
    <w:charset w:val="86"/>
    <w:family w:val="auto"/>
    <w:pitch w:val="default"/>
    <w:sig w:usb0="00000000" w:usb1="00000000" w:usb2="0000007F" w:usb3="00000000" w:csb0="203F01FF" w:csb1="DFFF0000"/>
  </w:font>
  <w:font w:name="方正小标宋简体">
    <w:panose1 w:val="02000000000000000000"/>
    <w:charset w:val="86"/>
    <w:family w:val="auto"/>
    <w:pitch w:val="default"/>
    <w:sig w:usb0="00000001" w:usb1="08000000" w:usb2="00000000" w:usb3="00000000" w:csb0="00040000" w:csb1="00000000"/>
    <w:embedRegular r:id="rId3" w:fontKey="{3D4CDB08-A8F2-430B-BAB7-1EED8F97CF42}"/>
  </w:font>
  <w:font w:name="方正仿宋_GBK">
    <w:panose1 w:val="02000000000000000000"/>
    <w:charset w:val="86"/>
    <w:family w:val="auto"/>
    <w:pitch w:val="default"/>
    <w:sig w:usb0="A00002BF" w:usb1="38CF7CFA" w:usb2="00082016" w:usb3="00000000" w:csb0="00040001" w:csb1="00000000"/>
    <w:embedRegular r:id="rId4" w:fontKey="{AB054ED7-E626-427B-B613-F125231332C3}"/>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592F9">
    <w:r>
      <w:rPr>
        <w:sz w:val="21"/>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12700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C36660">
                          <w:pPr>
                            <w:pStyle w:val="12"/>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wps:txbx>
                    <wps:bodyPr rot="0" spcFirstLastPara="0" vertOverflow="overflow" horzOverflow="overflow" vert="horz" wrap="none" lIns="203200" tIns="0" rIns="20320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pt;height:144pt;width:144pt;mso-position-horizontal:outside;mso-position-horizontal-relative:margin;mso-wrap-style:none;z-index:251659264;mso-width-relative:page;mso-height-relative:page;" filled="f" stroked="f" coordsize="21600,21600" o:gfxdata="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AalSs7WAAAABgEAAA8AAAAAAAAAAQAgAAAAIgAAAGRycy9kb3ducmV2&#10;LnhtbFBLAQIUABQAAAAIAIdO4kAMiZEMNwIAAGsEAAAOAAAAAAAAAAEAIAAAACUBAABkcnMvZTJv&#10;RG9jLnhtbFBLBQYAAAAABgAGAFkBAADOBQAAAAA=&#10;">
              <v:fill on="f" focussize="0,0"/>
              <v:stroke on="f" weight="0.5pt"/>
              <v:imagedata o:title=""/>
              <o:lock v:ext="edit" aspectratio="f"/>
              <v:textbox inset="16pt,0mm,16pt,0mm" style="mso-fit-shape-to-text:t;">
                <w:txbxContent>
                  <w:p w14:paraId="64C36660">
                    <w:pPr>
                      <w:pStyle w:val="12"/>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2142A5">
    <w:pPr>
      <w:pStyle w:val="12"/>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E3C917">
                          <w:pPr>
                            <w:pStyle w:val="12"/>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2</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wps:txbx>
                    <wps:bodyPr rot="0" spcFirstLastPara="0" vertOverflow="overflow" horzOverflow="overflow" vert="horz" wrap="none" lIns="203200" tIns="0" rIns="20320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pt;height:144pt;width:144pt;mso-position-horizontal:outside;mso-position-horizontal-relative:margin;mso-wrap-style:none;z-index:251660288;mso-width-relative:page;mso-height-relative:page;" filled="f" stroked="f" coordsize="21600,21600" o:gfxdata="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GpUrO1gAAAAYBAAAPAAAAAAAAAAEAIAAAACIAAABkcnMvZG93bnJl&#10;di54bWxQSwECFAAUAAAACACHTuJAc3nUujgCAABrBAAADgAAAAAAAAABACAAAAAlAQAAZHJzL2Uy&#10;b0RvYy54bWxQSwUGAAAAAAYABgBZAQAAzwUAAAAA&#10;">
              <v:fill on="f" focussize="0,0"/>
              <v:stroke on="f" weight="0.5pt"/>
              <v:imagedata o:title=""/>
              <o:lock v:ext="edit" aspectratio="f"/>
              <v:textbox inset="16pt,0mm,16pt,0mm" style="mso-fit-shape-to-text:t;">
                <w:txbxContent>
                  <w:p w14:paraId="20E3C917">
                    <w:pPr>
                      <w:pStyle w:val="12"/>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2</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79160">
    <w:pPr>
      <w:pStyle w:val="1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C623D">
    <w:pPr>
      <w:pStyle w:val="13"/>
      <w:pBdr>
        <w:bottom w:val="none" w:color="auto" w:sz="0" w:space="1"/>
      </w:pBd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j">
    <w15:presenceInfo w15:providerId="WPS Office" w15:userId="18893628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revisionView w:markup="0"/>
  <w:documentProtection w:enforcement="0"/>
  <w:evenAndOddHeaders w:val="1"/>
  <w:drawingGridHorizontalSpacing w:val="158"/>
  <w:drawingGridVerticalSpacing w:val="290"/>
  <w:displayHorizontalDrawingGridEvery w:val="1"/>
  <w:displayVerticalDrawingGridEvery w:val="1"/>
  <w:noPunctuationKerning w:val="1"/>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6130D"/>
    <w:rsid w:val="00A534A2"/>
    <w:rsid w:val="01C80EB6"/>
    <w:rsid w:val="023B0E35"/>
    <w:rsid w:val="06422F98"/>
    <w:rsid w:val="06C174E7"/>
    <w:rsid w:val="08580817"/>
    <w:rsid w:val="0AFA4533"/>
    <w:rsid w:val="0B8C227D"/>
    <w:rsid w:val="0DBD6EA5"/>
    <w:rsid w:val="0FA441D6"/>
    <w:rsid w:val="15AA3BE9"/>
    <w:rsid w:val="174A7237"/>
    <w:rsid w:val="1A935399"/>
    <w:rsid w:val="1B5915BD"/>
    <w:rsid w:val="1C796B0B"/>
    <w:rsid w:val="1DE1520B"/>
    <w:rsid w:val="1F1A3993"/>
    <w:rsid w:val="226E7B18"/>
    <w:rsid w:val="241E5CD3"/>
    <w:rsid w:val="245B23AC"/>
    <w:rsid w:val="27A441BA"/>
    <w:rsid w:val="27F80B48"/>
    <w:rsid w:val="29072352"/>
    <w:rsid w:val="2DC07DFB"/>
    <w:rsid w:val="324B3D53"/>
    <w:rsid w:val="329C5E1D"/>
    <w:rsid w:val="340232A9"/>
    <w:rsid w:val="350D5A60"/>
    <w:rsid w:val="36257DF1"/>
    <w:rsid w:val="378620B5"/>
    <w:rsid w:val="383F3826"/>
    <w:rsid w:val="3A7641F6"/>
    <w:rsid w:val="3D2C248A"/>
    <w:rsid w:val="43F87B9F"/>
    <w:rsid w:val="46431172"/>
    <w:rsid w:val="472406A5"/>
    <w:rsid w:val="4A7B3866"/>
    <w:rsid w:val="4B614CC7"/>
    <w:rsid w:val="4BE91CD6"/>
    <w:rsid w:val="4BF0618B"/>
    <w:rsid w:val="539A4AC7"/>
    <w:rsid w:val="58E24246"/>
    <w:rsid w:val="5BFE3977"/>
    <w:rsid w:val="5C50767F"/>
    <w:rsid w:val="5F621F84"/>
    <w:rsid w:val="614638C2"/>
    <w:rsid w:val="621E7DFE"/>
    <w:rsid w:val="62D36ADE"/>
    <w:rsid w:val="63021982"/>
    <w:rsid w:val="6316784B"/>
    <w:rsid w:val="67D85766"/>
    <w:rsid w:val="6EFA760C"/>
    <w:rsid w:val="703A0B30"/>
    <w:rsid w:val="7683594F"/>
    <w:rsid w:val="780423EC"/>
    <w:rsid w:val="79CA1EB5"/>
    <w:rsid w:val="7C115F6B"/>
    <w:rsid w:val="7C1C5D6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officialmode val="1"/>
    </mc:Choice>
  </mc:AlternateContent>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Segoe UI" w:hAnsi="Segoe UI" w:eastAsiaTheme="minorEastAsia" w:cstheme="minorBidi"/>
      <w:sz w:val="21"/>
      <w:szCs w:val="22"/>
    </w:rPr>
  </w:style>
  <w:style w:type="paragraph" w:styleId="2">
    <w:name w:val="heading 1"/>
    <w:next w:val="1"/>
    <w:qFormat/>
    <w:uiPriority w:val="0"/>
    <w:pPr>
      <w:keepNext/>
      <w:keepLines/>
      <w:spacing w:beforeLines="0" w:beforeAutospacing="0" w:afterLines="0" w:afterAutospacing="0" w:line="560" w:lineRule="exact"/>
      <w:ind w:firstLine="894" w:firstLineChars="200"/>
      <w:outlineLvl w:val="0"/>
    </w:pPr>
    <w:rPr>
      <w:rFonts w:ascii="黑体" w:hAnsi="黑体" w:eastAsia="黑体" w:cs="黑体"/>
      <w:kern w:val="44"/>
      <w:sz w:val="32"/>
      <w:szCs w:val="32"/>
    </w:rPr>
  </w:style>
  <w:style w:type="paragraph" w:styleId="3">
    <w:name w:val="heading 2"/>
    <w:next w:val="1"/>
    <w:unhideWhenUsed/>
    <w:qFormat/>
    <w:uiPriority w:val="0"/>
    <w:pPr>
      <w:keepNext/>
      <w:keepLines/>
      <w:spacing w:beforeLines="0" w:beforeAutospacing="0" w:afterLines="0" w:afterAutospacing="0" w:line="560" w:lineRule="exact"/>
      <w:ind w:firstLine="894" w:firstLineChars="200"/>
      <w:outlineLvl w:val="1"/>
    </w:pPr>
    <w:rPr>
      <w:rFonts w:ascii="Times New Roman" w:hAnsi="Times New Roman" w:eastAsia="方正楷体_GB2312" w:cs="方正楷体_GB2312"/>
      <w:sz w:val="32"/>
      <w:szCs w:val="32"/>
    </w:rPr>
  </w:style>
  <w:style w:type="paragraph" w:styleId="4">
    <w:name w:val="heading 3"/>
    <w:next w:val="1"/>
    <w:link w:val="19"/>
    <w:unhideWhenUsed/>
    <w:qFormat/>
    <w:uiPriority w:val="0"/>
    <w:pPr>
      <w:keepNext/>
      <w:keepLines/>
      <w:spacing w:beforeLines="0" w:beforeAutospacing="0" w:afterLines="0" w:afterAutospacing="0" w:line="560" w:lineRule="exact"/>
      <w:ind w:firstLine="894" w:firstLineChars="200"/>
      <w:outlineLvl w:val="2"/>
    </w:pPr>
    <w:rPr>
      <w:rFonts w:ascii="Times New Roman" w:hAnsi="Times New Roman" w:eastAsia="方正仿宋_GB2312" w:cs="方正仿宋_GB2312"/>
      <w:sz w:val="32"/>
      <w:szCs w:val="32"/>
    </w:rPr>
  </w:style>
  <w:style w:type="paragraph" w:styleId="5">
    <w:name w:val="heading 4"/>
    <w:next w:val="1"/>
    <w:semiHidden/>
    <w:unhideWhenUsed/>
    <w:qFormat/>
    <w:uiPriority w:val="0"/>
    <w:pPr>
      <w:keepNext/>
      <w:keepLines/>
      <w:spacing w:beforeLines="0" w:beforeAutospacing="0" w:afterLines="0" w:afterAutospacing="0" w:line="560" w:lineRule="exact"/>
      <w:ind w:firstLine="894" w:firstLineChars="200"/>
      <w:outlineLvl w:val="3"/>
    </w:pPr>
    <w:rPr>
      <w:rFonts w:ascii="Times New Roman" w:hAnsi="Times New Roman" w:eastAsia="方正仿宋_GB2312" w:cs="方正仿宋_GB2312"/>
      <w:sz w:val="32"/>
      <w:szCs w:val="32"/>
    </w:rPr>
  </w:style>
  <w:style w:type="paragraph" w:styleId="6">
    <w:name w:val="heading 5"/>
    <w:next w:val="1"/>
    <w:semiHidden/>
    <w:unhideWhenUsed/>
    <w:qFormat/>
    <w:uiPriority w:val="0"/>
    <w:pPr>
      <w:spacing w:line="560" w:lineRule="exact"/>
      <w:ind w:firstLine="894" w:firstLineChars="200"/>
      <w:outlineLvl w:val="4"/>
    </w:pPr>
    <w:rPr>
      <w:rFonts w:ascii="Times New Roman" w:hAnsi="Times New Roman" w:eastAsia="方正仿宋_GB2312" w:cs="方正仿宋_GB2312"/>
      <w:sz w:val="32"/>
      <w:szCs w:val="32"/>
    </w:rPr>
  </w:style>
  <w:style w:type="paragraph" w:styleId="7">
    <w:name w:val="heading 6"/>
    <w:next w:val="1"/>
    <w:semiHidden/>
    <w:unhideWhenUsed/>
    <w:qFormat/>
    <w:uiPriority w:val="0"/>
    <w:pPr>
      <w:spacing w:line="560" w:lineRule="exact"/>
      <w:ind w:firstLine="894" w:firstLineChars="200"/>
      <w:outlineLvl w:val="5"/>
    </w:pPr>
    <w:rPr>
      <w:rFonts w:ascii="Times New Roman" w:hAnsi="Times New Roman" w:eastAsia="方正仿宋_GB2312" w:cs="方正仿宋_GB2312"/>
      <w:sz w:val="32"/>
      <w:szCs w:val="32"/>
    </w:rPr>
  </w:style>
  <w:style w:type="paragraph" w:styleId="8">
    <w:name w:val="heading 7"/>
    <w:next w:val="1"/>
    <w:semiHidden/>
    <w:unhideWhenUsed/>
    <w:qFormat/>
    <w:uiPriority w:val="0"/>
    <w:pPr>
      <w:spacing w:line="560" w:lineRule="exact"/>
      <w:ind w:firstLine="894" w:firstLineChars="200"/>
      <w:outlineLvl w:val="6"/>
    </w:pPr>
    <w:rPr>
      <w:rFonts w:ascii="Times New Roman" w:hAnsi="Times New Roman" w:eastAsia="方正仿宋_GB2312" w:cs="方正仿宋_GB2312"/>
      <w:sz w:val="32"/>
      <w:szCs w:val="32"/>
    </w:rPr>
  </w:style>
  <w:style w:type="paragraph" w:styleId="9">
    <w:name w:val="heading 8"/>
    <w:next w:val="1"/>
    <w:semiHidden/>
    <w:unhideWhenUsed/>
    <w:qFormat/>
    <w:uiPriority w:val="0"/>
    <w:pPr>
      <w:spacing w:line="560" w:lineRule="exact"/>
      <w:ind w:firstLine="894" w:firstLineChars="200"/>
      <w:outlineLvl w:val="7"/>
    </w:pPr>
    <w:rPr>
      <w:rFonts w:ascii="Times New Roman" w:hAnsi="Times New Roman" w:eastAsia="方正仿宋_GB2312" w:cs="方正仿宋_GB2312"/>
      <w:sz w:val="32"/>
      <w:szCs w:val="32"/>
    </w:rPr>
  </w:style>
  <w:style w:type="paragraph" w:styleId="10">
    <w:name w:val="heading 9"/>
    <w:next w:val="1"/>
    <w:semiHidden/>
    <w:unhideWhenUsed/>
    <w:qFormat/>
    <w:uiPriority w:val="0"/>
    <w:pPr>
      <w:spacing w:line="560" w:lineRule="exact"/>
      <w:ind w:firstLine="894" w:firstLineChars="200"/>
      <w:outlineLvl w:val="8"/>
    </w:pPr>
    <w:rPr>
      <w:rFonts w:ascii="Times New Roman" w:hAnsi="Times New Roman" w:eastAsia="方正仿宋_GB2312" w:cs="方正仿宋_GB2312"/>
      <w:sz w:val="32"/>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11">
    <w:name w:val="Body Text"/>
    <w:qFormat/>
    <w:uiPriority w:val="0"/>
    <w:pPr>
      <w:spacing w:line="560" w:lineRule="exact"/>
      <w:ind w:firstLine="630" w:firstLineChars="200"/>
      <w:jc w:val="both"/>
    </w:pPr>
    <w:rPr>
      <w:rFonts w:ascii="Times New Roman" w:hAnsi="Times New Roman" w:eastAsia="方正仿宋_GB2312" w:cs="方正仿宋_GB2312"/>
      <w:spacing w:val="-6"/>
      <w:sz w:val="32"/>
      <w:szCs w:val="32"/>
    </w:r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Subtitle"/>
    <w:qFormat/>
    <w:uiPriority w:val="0"/>
    <w:pPr>
      <w:spacing w:beforeLines="0" w:beforeAutospacing="0" w:afterLines="0" w:afterAutospacing="0" w:line="720" w:lineRule="exact"/>
      <w:jc w:val="center"/>
      <w:outlineLvl w:val="9"/>
    </w:pPr>
    <w:rPr>
      <w:rFonts w:ascii="Times New Roman" w:hAnsi="Times New Roman" w:eastAsia="方正仿宋_GB2312" w:cs="方正仿宋_GB2312"/>
      <w:kern w:val="28"/>
      <w:sz w:val="32"/>
      <w:szCs w:val="32"/>
    </w:rPr>
  </w:style>
  <w:style w:type="paragraph" w:styleId="15">
    <w:name w:val="Title"/>
    <w:qFormat/>
    <w:uiPriority w:val="0"/>
    <w:pPr>
      <w:spacing w:line="720" w:lineRule="exact"/>
      <w:jc w:val="center"/>
      <w:outlineLvl w:val="9"/>
    </w:pPr>
    <w:rPr>
      <w:rFonts w:ascii="Arial Unicode MS" w:hAnsi="Arial Unicode MS" w:eastAsia="Arial Unicode MS" w:cs="Arial Unicode MS"/>
      <w:sz w:val="44"/>
      <w:szCs w:val="44"/>
    </w:rPr>
  </w:style>
  <w:style w:type="character" w:styleId="18">
    <w:name w:val="Hyperlink"/>
    <w:basedOn w:val="17"/>
    <w:qFormat/>
    <w:uiPriority w:val="0"/>
    <w:rPr>
      <w:color w:val="0000FF"/>
      <w:u w:val="single"/>
    </w:rPr>
  </w:style>
  <w:style w:type="character" w:customStyle="1" w:styleId="19">
    <w:name w:val="标题 3 Char"/>
    <w:link w:val="4"/>
    <w:qFormat/>
    <w:uiPriority w:val="0"/>
    <w:rPr>
      <w:rFonts w:ascii="Times New Roman" w:hAnsi="Times New Roman" w:eastAsia="方正仿宋_GB2312" w:cs="方正仿宋_GB231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16928b-21ed-4239-b96b-8ca3248e15b9}">
  <ds:schemaRefs/>
</ds:datastoreItem>
</file>

<file path=docProps/app.xml><?xml version="1.0" encoding="utf-8"?>
<Properties xmlns="http://schemas.openxmlformats.org/officeDocument/2006/extended-properties" xmlns:vt="http://schemas.openxmlformats.org/officeDocument/2006/docPropsVTypes">
  <Pages>9</Pages>
  <Words>4102</Words>
  <Characters>4143</Characters>
  <TotalTime>24</TotalTime>
  <ScaleCrop>false</ScaleCrop>
  <LinksUpToDate>false</LinksUpToDate>
  <CharactersWithSpaces>4181</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2026-02-27T10:17:00Z</dcterms:created>
  <dc:creator>Apache POI</dc:creator>
  <cp:lastModifiedBy>zj</cp:lastModifiedBy>
  <dcterms:modified xsi:type="dcterms:W3CDTF">2026-07-31T08:38:44Z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eyJoZGlkIjoiY2NlZTY0NWQ5MjlkOThmNWFmOGE1YmIzYTFjYzFhNDMiLCJ1c2VySWQiOiIzNjQzNjEwNjYifQ==</vt:lpwstr>
  </property>
  <property fmtid="{D5CDD505-2E9C-101B-9397-08002B2CF9AE}" pid="3" name="KSOProductBuildVer">
    <vt:lpwstr>2052-12.1.0.26895</vt:lpwstr>
  </property>
  <property fmtid="{D5CDD505-2E9C-101B-9397-08002B2CF9AE}" pid="4" name="ICV">
    <vt:lpwstr>D1BCC1798C8E415CB91485CE00F09C09_13</vt:lpwstr>
  </property>
  <property fmtid="{D5CDD505-2E9C-101B-9397-08002B2CF9AE}" pid="5" name="标题_1">
    <vt:lpwstr>2026年度安徽开放大学校级课题选题指南</vt:lpwstr>
  </property>
</Properties>
</file>